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rFonts w:eastAsia="Arial Bold" w:cs="Arial"/>
          <w:bCs/>
          <w:sz w:val="24"/>
          <w:lang w:eastAsia="zh-CN"/>
        </w:rPr>
      </w:pPr>
      <w:bookmarkStart w:id="0" w:name="OLE_LINK2"/>
      <w:bookmarkStart w:id="1" w:name="OLE_LINK1"/>
      <w:r>
        <w:rPr>
          <w:rFonts w:eastAsia="Arial Bold" w:cs="Arial"/>
          <w:bCs/>
          <w:sz w:val="24"/>
          <w:lang w:val="en-GB" w:eastAsia="zh-CN"/>
        </w:rPr>
        <w:t>3GPP TSG-RAN WG3 Meeting</w:t>
      </w:r>
      <w:r>
        <w:rPr>
          <w:rFonts w:eastAsia="宋体" w:cs="Arial"/>
          <w:bCs/>
          <w:sz w:val="24"/>
          <w:lang w:val="en-GB" w:eastAsia="zh-CN"/>
        </w:rPr>
        <w:t xml:space="preserve"> #111 electronic                     </w:t>
      </w:r>
      <w:r>
        <w:rPr>
          <w:rFonts w:eastAsia="宋体" w:cs="Arial"/>
          <w:bCs/>
          <w:sz w:val="24"/>
          <w:lang w:eastAsia="zh-CN"/>
        </w:rPr>
        <w:t>R3-204887</w:t>
      </w:r>
    </w:p>
    <w:p>
      <w:pPr>
        <w:pStyle w:val="11"/>
        <w:tabs>
          <w:tab w:val="left" w:pos="1701"/>
          <w:tab w:val="right" w:pos="9923"/>
          <w:tab w:val="clear" w:pos="4536"/>
          <w:tab w:val="clear" w:pos="9072"/>
        </w:tabs>
        <w:rPr>
          <w:rFonts w:eastAsia="宋体" w:cs="Arial"/>
          <w:sz w:val="24"/>
          <w:lang w:eastAsia="zh-CN"/>
        </w:rPr>
      </w:pPr>
      <w:r>
        <w:rPr>
          <w:rFonts w:eastAsia="宋体" w:cs="Arial"/>
          <w:sz w:val="24"/>
          <w:lang w:val="de-DE" w:eastAsia="zh-CN"/>
        </w:rPr>
        <w:t>E-Meeting, 17</w:t>
      </w:r>
      <w:r>
        <w:rPr>
          <w:rFonts w:eastAsia="宋体" w:cs="Arial"/>
          <w:sz w:val="24"/>
          <w:vertAlign w:val="superscript"/>
          <w:lang w:val="de-DE" w:eastAsia="zh-CN"/>
        </w:rPr>
        <w:t>th</w:t>
      </w:r>
      <w:r>
        <w:rPr>
          <w:rFonts w:eastAsia="宋体" w:cs="Arial"/>
          <w:sz w:val="24"/>
          <w:lang w:val="de-DE" w:eastAsia="zh-CN"/>
        </w:rPr>
        <w:t xml:space="preserve"> - 28</w:t>
      </w:r>
      <w:r>
        <w:rPr>
          <w:rFonts w:eastAsia="宋体" w:cs="Arial"/>
          <w:sz w:val="24"/>
          <w:vertAlign w:val="superscript"/>
          <w:lang w:val="de-DE" w:eastAsia="zh-CN"/>
        </w:rPr>
        <w:t>th</w:t>
      </w:r>
      <w:r>
        <w:rPr>
          <w:rFonts w:hint="eastAsia" w:eastAsia="宋体" w:cs="Arial"/>
          <w:sz w:val="24"/>
          <w:vertAlign w:val="superscript"/>
          <w:lang w:val="en-US" w:eastAsia="zh-CN"/>
        </w:rPr>
        <w:t xml:space="preserve"> </w:t>
      </w:r>
      <w:r>
        <w:rPr>
          <w:rFonts w:eastAsia="宋体" w:cs="Arial"/>
          <w:sz w:val="24"/>
          <w:lang w:val="de-DE" w:eastAsia="zh-CN"/>
        </w:rPr>
        <w:t>Aug</w:t>
      </w:r>
      <w:r>
        <w:rPr>
          <w:rFonts w:hint="eastAsia" w:eastAsia="宋体" w:cs="Arial"/>
          <w:sz w:val="24"/>
          <w:lang w:val="en-US" w:eastAsia="zh-CN"/>
        </w:rPr>
        <w:t>.</w:t>
      </w:r>
      <w:bookmarkStart w:id="8" w:name="_GoBack"/>
      <w:bookmarkEnd w:id="8"/>
      <w:r>
        <w:rPr>
          <w:rFonts w:eastAsia="宋体" w:cs="Arial"/>
          <w:sz w:val="24"/>
          <w:lang w:val="de-DE" w:eastAsia="zh-CN"/>
        </w:rPr>
        <w:t xml:space="preserve"> 2020</w:t>
      </w:r>
      <w:r>
        <w:rPr>
          <w:rFonts w:eastAsia="宋体" w:cs="Arial"/>
          <w:sz w:val="24"/>
          <w:lang w:eastAsia="zh-CN"/>
        </w:rPr>
        <w:t xml:space="preserve"> </w:t>
      </w:r>
    </w:p>
    <w:p>
      <w:pPr>
        <w:pStyle w:val="11"/>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11"/>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11"/>
        <w:tabs>
          <w:tab w:val="left" w:pos="1800"/>
          <w:tab w:val="clear" w:pos="4536"/>
        </w:tabs>
        <w:ind w:left="1961" w:hanging="1961" w:hangingChars="814"/>
        <w:rPr>
          <w:rFonts w:eastAsia="宋体" w:cs="Arial"/>
          <w:sz w:val="24"/>
          <w:lang w:eastAsia="zh-CN"/>
        </w:rPr>
      </w:pPr>
      <w:r>
        <w:rPr>
          <w:rFonts w:cs="Arial"/>
          <w:sz w:val="24"/>
        </w:rPr>
        <w:t>Title:</w:t>
      </w:r>
      <w:bookmarkStart w:id="2" w:name="Title"/>
      <w:bookmarkEnd w:id="2"/>
      <w:r>
        <w:rPr>
          <w:rFonts w:eastAsia="宋体" w:cs="Arial"/>
          <w:sz w:val="24"/>
          <w:lang w:eastAsia="zh-CN"/>
        </w:rPr>
        <w:t xml:space="preserve">          </w:t>
      </w:r>
      <w:r>
        <w:rPr>
          <w:rFonts w:cs="Arial"/>
          <w:sz w:val="24"/>
        </w:rPr>
        <w:t>Mobility support for the switching between PTP and PTM</w:t>
      </w:r>
    </w:p>
    <w:p>
      <w:pPr>
        <w:pStyle w:val="11"/>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eastAsia="宋体" w:cs="Arial"/>
          <w:sz w:val="24"/>
          <w:lang w:eastAsia="zh-CN"/>
        </w:rPr>
        <w:t>22.3.2</w:t>
      </w:r>
    </w:p>
    <w:p>
      <w:pPr>
        <w:pStyle w:val="11"/>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b w:val="0"/>
          <w:bCs w:val="0"/>
          <w:kern w:val="0"/>
          <w:sz w:val="36"/>
          <w:szCs w:val="20"/>
          <w:lang w:val="en-GB" w:eastAsia="en-GB"/>
        </w:rPr>
      </w:pPr>
      <w:bookmarkStart w:id="5" w:name="OLE_LINK14"/>
      <w:bookmarkStart w:id="6" w:name="OLE_LINK13"/>
      <w:r>
        <w:rPr>
          <w:b w:val="0"/>
          <w:bCs w:val="0"/>
          <w:kern w:val="0"/>
          <w:sz w:val="36"/>
          <w:szCs w:val="20"/>
          <w:lang w:val="en-GB" w:eastAsia="en-GB"/>
        </w:rPr>
        <w:t>Introduction</w:t>
      </w:r>
    </w:p>
    <w:p>
      <w:pPr>
        <w:rPr>
          <w:rFonts w:ascii="Times New Roman" w:hAnsi="Times New Roman" w:eastAsia="宋体"/>
          <w:color w:val="000000"/>
          <w:szCs w:val="20"/>
          <w:lang w:eastAsia="zh-CN"/>
        </w:rPr>
      </w:pPr>
      <w:r>
        <w:rPr>
          <w:rFonts w:ascii="Times New Roman" w:hAnsi="Times New Roman" w:eastAsia="宋体"/>
          <w:color w:val="000000"/>
          <w:szCs w:val="20"/>
          <w:lang w:eastAsia="zh-CN"/>
        </w:rPr>
        <w:t>According to WID[1]:</w:t>
      </w:r>
    </w:p>
    <w:p>
      <w:pPr>
        <w:pBdr>
          <w:top w:val="single" w:color="auto" w:sz="4" w:space="1"/>
          <w:left w:val="single" w:color="auto" w:sz="4" w:space="4"/>
          <w:bottom w:val="single" w:color="auto" w:sz="4" w:space="1"/>
          <w:right w:val="single" w:color="auto" w:sz="4" w:space="4"/>
        </w:pBdr>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p>
      <w:pPr>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Mobility support for PTP/PTM switching need to be considered when MR DC configurations. In this document, we present our contribution on which cases shall be supported for mobility and whether lossless is supported.</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pPr>
        <w:spacing w:before="120" w:beforeLines="50"/>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In TR23.757[2], there’re two delivery methods introduced for RAN and two delivery methods introduced for CN.</w:t>
      </w:r>
    </w:p>
    <w:p>
      <w:pPr>
        <w:spacing w:before="120" w:beforeLines="50"/>
        <w:rPr>
          <w:rFonts w:ascii="Times New Roman" w:hAnsi="Times New Roman"/>
          <w:szCs w:val="20"/>
        </w:rPr>
      </w:pPr>
      <w:r>
        <w:rPr>
          <w:rFonts w:ascii="Times New Roman" w:hAnsi="Times New Roman"/>
          <w:szCs w:val="20"/>
        </w:rPr>
        <w:t xml:space="preserve">From the viewpoint of 5G CN, two </w:t>
      </w:r>
      <w:r>
        <w:rPr>
          <w:rFonts w:ascii="Times New Roman" w:hAnsi="Times New Roman"/>
          <w:b/>
          <w:bCs/>
          <w:szCs w:val="20"/>
        </w:rPr>
        <w:t>delivery methods</w:t>
      </w:r>
      <w:r>
        <w:rPr>
          <w:rFonts w:ascii="Times New Roman" w:hAnsi="Times New Roman"/>
          <w:szCs w:val="20"/>
        </w:rPr>
        <w:t xml:space="preserve"> are possible:</w:t>
      </w:r>
    </w:p>
    <w:p>
      <w:pPr>
        <w:pStyle w:val="24"/>
        <w:spacing w:before="120" w:beforeLines="50"/>
        <w:jc w:val="both"/>
        <w:rPr>
          <w:rFonts w:hint="default"/>
        </w:rPr>
      </w:pPr>
      <w:r>
        <w:rPr>
          <w:rFonts w:hint="default"/>
        </w:rPr>
        <w:t>-</w:t>
      </w:r>
      <w:r>
        <w:rPr>
          <w:rFonts w:hint="default"/>
        </w:rPr>
        <w:tab/>
      </w:r>
      <w:r>
        <w:rPr>
          <w:rFonts w:hint="default"/>
        </w:rPr>
        <w:t>5GC Individual MBS traffic delivery method:</w:t>
      </w:r>
      <w:r>
        <w:rPr>
          <w:rFonts w:hint="default" w:eastAsia="MS Mincho"/>
        </w:rPr>
        <w:t xml:space="preserve"> 5G CN receives a single copy of MBS data packets and </w:t>
      </w:r>
      <w:r>
        <w:rPr>
          <w:rFonts w:hint="default"/>
        </w:rPr>
        <w:t>delivers separate copies of those MBS data packets to individual UEs via per-UE PDU sessions.</w:t>
      </w:r>
    </w:p>
    <w:p>
      <w:pPr>
        <w:pStyle w:val="24"/>
        <w:spacing w:before="120" w:beforeLines="50"/>
        <w:jc w:val="both"/>
        <w:rPr>
          <w:rFonts w:hint="default"/>
        </w:rPr>
      </w:pPr>
      <w:r>
        <w:rPr>
          <w:rFonts w:hint="default"/>
        </w:rPr>
        <w:t>-</w:t>
      </w:r>
      <w:r>
        <w:rPr>
          <w:rFonts w:hint="default"/>
        </w:rPr>
        <w:tab/>
      </w:r>
      <w:r>
        <w:rPr>
          <w:rFonts w:hint="default"/>
        </w:rPr>
        <w:t>5GC Shared MBS traffic delivery method: 5G CN receives a single copy of MBS data packets and delivers a single copy of those MBS packets packet to a RAN node, which then delivers them to one or multiple Ues</w:t>
      </w:r>
    </w:p>
    <w:p>
      <w:pPr>
        <w:keepNext/>
        <w:spacing w:before="120" w:beforeLines="50"/>
        <w:jc w:val="both"/>
        <w:rPr>
          <w:rFonts w:ascii="Times New Roman" w:hAnsi="Times New Roman" w:eastAsia="MS Mincho"/>
          <w:szCs w:val="20"/>
        </w:rPr>
      </w:pPr>
      <w:r>
        <w:rPr>
          <w:rFonts w:ascii="Times New Roman" w:hAnsi="Times New Roman" w:eastAsia="MS Mincho"/>
          <w:szCs w:val="20"/>
        </w:rPr>
        <w:t xml:space="preserve">From the viewpoint of RAN, (in the case of the shared delivery) two </w:t>
      </w:r>
      <w:r>
        <w:rPr>
          <w:rFonts w:ascii="Times New Roman" w:hAnsi="Times New Roman" w:eastAsia="MS Mincho"/>
          <w:b/>
          <w:szCs w:val="20"/>
        </w:rPr>
        <w:t>delivery methods</w:t>
      </w:r>
      <w:r>
        <w:rPr>
          <w:rFonts w:ascii="Times New Roman" w:hAnsi="Times New Roman" w:eastAsia="MS Mincho"/>
          <w:szCs w:val="20"/>
        </w:rPr>
        <w:t xml:space="preserve"> are available for the transmission of MBS packet flows over the radio:</w:t>
      </w:r>
    </w:p>
    <w:p>
      <w:pPr>
        <w:pStyle w:val="24"/>
        <w:spacing w:before="120" w:beforeLines="50"/>
        <w:jc w:val="both"/>
        <w:rPr>
          <w:rFonts w:hint="default" w:eastAsia="MS Mincho"/>
        </w:rPr>
      </w:pPr>
      <w:r>
        <w:rPr>
          <w:rFonts w:hint="default"/>
        </w:rPr>
        <w:t>-</w:t>
      </w:r>
      <w:r>
        <w:rPr>
          <w:rFonts w:hint="default"/>
        </w:rPr>
        <w:tab/>
      </w:r>
      <w:r>
        <w:rPr>
          <w:rFonts w:hint="default"/>
        </w:rPr>
        <w:t>Point-to-Point (PTP) delivery method:</w:t>
      </w:r>
      <w:r>
        <w:rPr>
          <w:rFonts w:hint="default" w:eastAsia="MS Mincho"/>
        </w:rPr>
        <w:t xml:space="preserve"> a RAN node delivers separate copies of MBS data packet over the radio to individual UE.</w:t>
      </w:r>
    </w:p>
    <w:p>
      <w:pPr>
        <w:pStyle w:val="24"/>
        <w:spacing w:before="120" w:beforeLines="50"/>
        <w:jc w:val="both"/>
        <w:rPr>
          <w:rFonts w:hint="default"/>
        </w:rPr>
      </w:pPr>
      <w:r>
        <w:rPr>
          <w:rFonts w:hint="default"/>
        </w:rPr>
        <w:t>-</w:t>
      </w:r>
      <w:r>
        <w:rPr>
          <w:rFonts w:hint="default"/>
        </w:rPr>
        <w:tab/>
      </w:r>
      <w:r>
        <w:rPr>
          <w:rFonts w:hint="default"/>
        </w:rPr>
        <w:t>Point-to-Multipoint (PTM) delivery method: a RAN node delivers a single copy of MBS data packets over the radio to a set of UEs.</w:t>
      </w:r>
    </w:p>
    <w:p>
      <w:pPr>
        <w:rPr>
          <w:rFonts w:ascii="Times New Roman" w:hAnsi="Times New Roman" w:eastAsia="宋体"/>
          <w:color w:val="000000"/>
          <w:szCs w:val="20"/>
          <w:lang w:eastAsia="zh-CN"/>
        </w:rPr>
      </w:pPr>
    </w:p>
    <w:p>
      <w:pPr>
        <w:pStyle w:val="35"/>
        <w:rPr>
          <w:rFonts w:ascii="Times New Roman" w:hAnsi="Times New Roman"/>
        </w:rPr>
      </w:pPr>
      <w:r>
        <w:rPr>
          <w:rFonts w:ascii="Times New Roman" w:hAnsi="Times New Roman"/>
        </w:rPr>
        <w:object>
          <v:shape id="_x0000_i1025" o:spt="75" type="#_x0000_t75" style="height:267.6pt;width:40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37"/>
        <w:rPr>
          <w:rFonts w:ascii="Times New Roman" w:hAnsi="Times New Roman" w:eastAsia="MS Mincho"/>
        </w:rPr>
      </w:pPr>
      <w:r>
        <w:rPr>
          <w:rFonts w:ascii="Times New Roman" w:hAnsi="Times New Roman"/>
        </w:rPr>
        <w:t xml:space="preserve">Figure </w:t>
      </w:r>
      <w:r>
        <w:rPr>
          <w:rFonts w:ascii="Times New Roman" w:hAnsi="Times New Roman"/>
          <w:lang w:eastAsia="ko-KR"/>
        </w:rPr>
        <w:t>4.4</w:t>
      </w:r>
      <w:r>
        <w:rPr>
          <w:rFonts w:ascii="Times New Roman" w:hAnsi="Times New Roman"/>
        </w:rPr>
        <w:noBreakHyphen/>
      </w:r>
      <w:r>
        <w:rPr>
          <w:rFonts w:ascii="Times New Roman" w:hAnsi="Times New Roman"/>
        </w:rPr>
        <w:t>1: Schematic showing delivery methods</w:t>
      </w:r>
    </w:p>
    <w:p>
      <w:pPr>
        <w:spacing w:before="120" w:beforeLines="50" w:after="180"/>
        <w:rPr>
          <w:rFonts w:ascii="Times New Roman" w:hAnsi="Times New Roman" w:eastAsia="宋体"/>
          <w:color w:val="000000"/>
          <w:szCs w:val="20"/>
          <w:lang w:eastAsia="zh-CN"/>
        </w:rPr>
      </w:pPr>
      <w:r>
        <w:rPr>
          <w:rFonts w:ascii="Times New Roman" w:hAnsi="Times New Roman" w:eastAsia="宋体"/>
          <w:color w:val="000000"/>
          <w:szCs w:val="20"/>
          <w:lang w:eastAsia="zh-CN"/>
        </w:rPr>
        <w:t>For MBS service providing, there’re four cases need to be considered:</w:t>
      </w:r>
    </w:p>
    <w:p>
      <w:pPr>
        <w:spacing w:before="120" w:beforeLines="50" w:after="180"/>
        <w:rPr>
          <w:rFonts w:ascii="Times New Roman" w:hAnsi="Times New Roman"/>
          <w:b/>
          <w:szCs w:val="20"/>
        </w:rPr>
      </w:pPr>
      <w:r>
        <w:rPr>
          <w:rFonts w:ascii="Times New Roman" w:hAnsi="Times New Roman"/>
          <w:b/>
          <w:szCs w:val="20"/>
        </w:rPr>
        <w:t>Case 1: The CN-to-gNB is via PTM, and the gNB-to-UE is via PTP.</w:t>
      </w:r>
    </w:p>
    <w:p>
      <w:pPr>
        <w:spacing w:before="120" w:beforeLines="50" w:after="180"/>
        <w:rPr>
          <w:rFonts w:ascii="Times New Roman" w:hAnsi="Times New Roman"/>
          <w:b/>
          <w:szCs w:val="20"/>
        </w:rPr>
      </w:pPr>
      <w:r>
        <w:rPr>
          <w:rFonts w:ascii="Times New Roman" w:hAnsi="Times New Roman"/>
          <w:b/>
          <w:szCs w:val="20"/>
        </w:rPr>
        <w:t>Case 2: The CN-to-gNB is via PTM, and the gNB-to-UE is via PTM.</w:t>
      </w:r>
    </w:p>
    <w:p>
      <w:pPr>
        <w:spacing w:before="120" w:beforeLines="50" w:after="180"/>
        <w:rPr>
          <w:rFonts w:ascii="Times New Roman" w:hAnsi="Times New Roman"/>
          <w:b/>
          <w:szCs w:val="20"/>
        </w:rPr>
      </w:pPr>
      <w:r>
        <w:rPr>
          <w:rFonts w:ascii="Times New Roman" w:hAnsi="Times New Roman"/>
          <w:b/>
          <w:szCs w:val="20"/>
        </w:rPr>
        <w:t>Case 3: The CN-to-gNB is via PTP, and the gNB-to-UE is via PTP.</w:t>
      </w:r>
    </w:p>
    <w:p>
      <w:pPr>
        <w:spacing w:before="120" w:beforeLines="50" w:after="180"/>
        <w:rPr>
          <w:rFonts w:ascii="Times New Roman" w:hAnsi="Times New Roman"/>
          <w:b/>
          <w:szCs w:val="20"/>
        </w:rPr>
      </w:pPr>
      <w:r>
        <w:rPr>
          <w:rFonts w:ascii="Times New Roman" w:hAnsi="Times New Roman"/>
          <w:b/>
          <w:szCs w:val="20"/>
        </w:rPr>
        <w:t>Case 4: The CN-to-gNB is via PTP, and the gNB-to-UE is via PTM.</w:t>
      </w:r>
    </w:p>
    <w:p>
      <w:pPr>
        <w:spacing w:before="120" w:beforeLines="50" w:after="180"/>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If 5GC Individual MBS traffic delivery method is supported, a same received a single copy of MBS data packets by the CN may be delivered via both 5GC Individual MBS traffic delivery method for some UE(s) and 5GC Shared MBS traffic delivery method for other UEs.</w:t>
      </w:r>
    </w:p>
    <w:p>
      <w:pPr>
        <w:spacing w:before="120" w:beforeLines="50" w:after="180"/>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As a result, it is out of RAN3 scope to support case 3. MBS service individual transmits on a PDU session has no different with non MBS services via PDU session.</w:t>
      </w:r>
    </w:p>
    <w:p>
      <w:pPr>
        <w:spacing w:before="120" w:beforeLines="50" w:after="180"/>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And for case 4, when gNB transmit MBS via PTM, there’s no need for a UE to set up a special PDU session and a new tunnel to support PTP from CN point of view. So case 4 should not be supported.</w:t>
      </w:r>
    </w:p>
    <w:p>
      <w:pPr>
        <w:spacing w:before="120" w:beforeLines="50" w:after="180"/>
        <w:rPr>
          <w:rFonts w:ascii="Times New Roman" w:hAnsi="Times New Roman" w:eastAsia="宋体"/>
          <w:color w:val="000000"/>
          <w:szCs w:val="20"/>
          <w:lang w:eastAsia="zh-CN"/>
        </w:rPr>
      </w:pPr>
      <w:r>
        <w:rPr>
          <w:rFonts w:ascii="Times New Roman" w:hAnsi="Times New Roman" w:eastAsia="宋体"/>
          <w:color w:val="000000"/>
          <w:szCs w:val="20"/>
          <w:lang w:eastAsia="zh-CN"/>
        </w:rPr>
        <w:t>There’re 12 cases of mobility switch:</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 xml:space="preserve">Case 1 -&gt; Case 2: </w:t>
      </w:r>
    </w:p>
    <w:p>
      <w:pPr>
        <w:spacing w:before="120" w:beforeLines="50" w:after="180"/>
        <w:rPr>
          <w:rFonts w:ascii="Times New Roman" w:hAnsi="Times New Roman" w:eastAsia="宋体"/>
          <w:color w:val="000000"/>
          <w:szCs w:val="20"/>
          <w:lang w:eastAsia="zh-CN"/>
        </w:rPr>
      </w:pPr>
      <w:r>
        <w:rPr>
          <w:rFonts w:ascii="Times New Roman" w:hAnsi="Times New Roman" w:eastAsia="宋体"/>
          <w:color w:val="000000"/>
          <w:szCs w:val="20"/>
          <w:lang w:eastAsia="zh-CN"/>
        </w:rPr>
        <w:t>Both case1 and case2 CN-to-gNB are via PTM, no switching is needed.</w:t>
      </w:r>
    </w:p>
    <w:p>
      <w:pPr>
        <w:spacing w:before="120" w:beforeLines="50" w:after="180"/>
        <w:jc w:val="both"/>
        <w:rPr>
          <w:rFonts w:ascii="Times New Roman" w:hAnsi="Times New Roman" w:eastAsia="宋体"/>
          <w:color w:val="000000"/>
          <w:szCs w:val="20"/>
          <w:lang w:eastAsia="zh-CN"/>
        </w:rPr>
      </w:pPr>
      <w:r>
        <w:rPr>
          <w:rFonts w:ascii="Times New Roman" w:hAnsi="Times New Roman" w:eastAsia="宋体"/>
          <w:color w:val="000000"/>
          <w:szCs w:val="20"/>
          <w:lang w:eastAsia="zh-CN"/>
        </w:rPr>
        <w:t xml:space="preserve">And gNB-to-UE changes from PTP to PTM.In this case, the source is using PTP delivery method for a particular TMGI service which a UE is interested in or receiving. And meanwhile, the target is using PTM delivery method for this service. Since the target is using PTM delivery to multiple UEs, the cost of optimization to achieve lossless for a single incoming UE is </w:t>
      </w:r>
      <w:r>
        <w:rPr>
          <w:rFonts w:ascii="Times New Roman" w:hAnsi="Times New Roman" w:eastAsia="宋体"/>
          <w:b/>
          <w:color w:val="000000"/>
          <w:szCs w:val="20"/>
          <w:lang w:eastAsia="zh-CN"/>
        </w:rPr>
        <w:t>very high</w:t>
      </w:r>
      <w:r>
        <w:rPr>
          <w:rFonts w:ascii="Times New Roman" w:hAnsi="Times New Roman" w:eastAsia="宋体"/>
          <w:color w:val="000000"/>
          <w:szCs w:val="20"/>
          <w:lang w:eastAsia="zh-CN"/>
        </w:rPr>
        <w:t>.</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 xml:space="preserve">Case 1 -&gt; Case 3: </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Both case1 and case3 gNB-to-UE are via PTP, no switching is needed.</w:t>
      </w:r>
    </w:p>
    <w:p>
      <w:pPr>
        <w:spacing w:before="120" w:beforeLines="50" w:after="180"/>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And CN-to-gNB changs from PTM to PTP.In this case, the source CN is using PTM delivery method and the target CN is using PTP. The CN node needs change to deliver separate copies of those MBS data packets to individual UEs via per-UE PDU sessions which don’t have. So </w:t>
      </w:r>
      <w:r>
        <w:rPr>
          <w:rFonts w:ascii="Times New Roman" w:hAnsi="Times New Roman" w:eastAsia="宋体"/>
          <w:b/>
          <w:color w:val="000000"/>
          <w:kern w:val="2"/>
          <w:szCs w:val="20"/>
          <w:lang w:eastAsia="zh-CN"/>
        </w:rPr>
        <w:t>a new PDU session set up procedure</w:t>
      </w:r>
      <w:r>
        <w:rPr>
          <w:rFonts w:ascii="Times New Roman" w:hAnsi="Times New Roman" w:eastAsia="宋体"/>
          <w:color w:val="000000"/>
          <w:kern w:val="2"/>
          <w:szCs w:val="20"/>
          <w:lang w:eastAsia="zh-CN"/>
        </w:rPr>
        <w:t xml:space="preserve"> combined with the existed MBS session has to happen which means when PDU register, UE must send TMGI with its UE ID.</w:t>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MBS receiving changes to an individual receiving var PDU session.</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 xml:space="preserve">Case 1 -&gt; Case 4: </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CN-to-gNB changes from PTM to PTP which is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2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②</w:t>
      </w:r>
      <w:r>
        <w:rPr>
          <w:rFonts w:ascii="Times New Roman" w:hAnsi="Times New Roman" w:eastAsia="宋体"/>
          <w:color w:val="000000"/>
          <w:kern w:val="2"/>
          <w:szCs w:val="20"/>
          <w:lang w:eastAsia="zh-CN"/>
        </w:rPr>
        <w:fldChar w:fldCharType="end"/>
      </w:r>
      <w:r>
        <w:rPr>
          <w:rFonts w:ascii="Times New Roman" w:hAnsi="Times New Roman" w:eastAsia="宋体"/>
          <w:color w:val="000000"/>
          <w:kern w:val="2"/>
          <w:szCs w:val="20"/>
          <w:lang w:eastAsia="zh-CN"/>
        </w:rPr>
        <w:t>.</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gNB-to-UE changes from PTM to PTP. As for CN changes as mentioned at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2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②</w:t>
      </w:r>
      <w:r>
        <w:rPr>
          <w:rFonts w:ascii="Times New Roman" w:hAnsi="Times New Roman" w:eastAsia="宋体"/>
          <w:color w:val="000000"/>
          <w:kern w:val="2"/>
          <w:szCs w:val="20"/>
          <w:lang w:eastAsia="zh-CN"/>
        </w:rPr>
        <w:fldChar w:fldCharType="end"/>
      </w:r>
      <w:r>
        <w:rPr>
          <w:rFonts w:ascii="Times New Roman" w:hAnsi="Times New Roman" w:eastAsia="宋体"/>
          <w:color w:val="000000"/>
          <w:kern w:val="2"/>
          <w:szCs w:val="20"/>
          <w:lang w:eastAsia="zh-CN"/>
        </w:rPr>
        <w:t>, A PDU session has to be set up.</w:t>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MBS receiving changes to an individual receiving var PDU session.</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 xml:space="preserve">Case 2 -&gt; Case 1: </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Both case1 and case2 CN-to-gNB are via PTM, no switching is needed.</w:t>
      </w:r>
    </w:p>
    <w:p>
      <w:pPr>
        <w:spacing w:before="120" w:beforeLines="50" w:after="180"/>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And gNB-to-UE changes from PTM to PTP. gNB-to-UE can choose using SC-PTM or broadcast. In this case, the source is using PTM delivery method for a particular TMGI service which a UE is interested in or receiving. And meanwhile, the target is using PTP delivery method for this service. Since the target will use a PTP bearer to deliver the interested MBS traffic to this UE, some lossless optimization can be considered, e.g. SN status transfer/data forwarding like mechanisms, and the cost of these solutions are acceptable from the perspective of specification effort. </w:t>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 xml:space="preserve">In this case, no PDU session need set up. </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Case 2 -&gt; Case 3:</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CN-to-gNB changes from PTM to PTP which is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2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②</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gNB-to-UE changes from PTM to PTP which is the same as</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4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④</w:t>
      </w:r>
      <w:r>
        <w:rPr>
          <w:rFonts w:ascii="Times New Roman" w:hAnsi="Times New Roman" w:eastAsia="宋体"/>
          <w:color w:val="000000"/>
          <w:kern w:val="2"/>
          <w:szCs w:val="20"/>
          <w:lang w:eastAsia="zh-CN"/>
        </w:rPr>
        <w:fldChar w:fldCharType="end"/>
      </w:r>
      <w:r>
        <w:rPr>
          <w:rFonts w:ascii="Times New Roman" w:hAnsi="Times New Roman" w:eastAsia="宋体"/>
          <w:color w:val="000000"/>
          <w:kern w:val="2"/>
          <w:szCs w:val="20"/>
          <w:lang w:eastAsia="zh-CN"/>
        </w:rPr>
        <w:t>.</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A new PDU session has to be set up and used for CN and gNB. </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b/>
          <w:color w:val="000000"/>
          <w:kern w:val="2"/>
          <w:szCs w:val="20"/>
          <w:lang w:eastAsia="zh-CN"/>
        </w:rPr>
        <w:t>MBS receiving changes to an individual receiving var PDU session.</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Case 2 -&gt; Case 4</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CN-to-gNB changes from PTM to PTP which is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2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②</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gNB-to-UE via PTM no changes. </w:t>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If case 4 not supported, this case is not supported.</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Case 3 -&gt; Case 1</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CN-to-gNB changes from PTP to PTM. A shared transmission tunnel need set up with gNB and CN.</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gNB-to-UE PTP no changes.</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b/>
          <w:color w:val="000000"/>
          <w:kern w:val="2"/>
          <w:szCs w:val="20"/>
          <w:lang w:eastAsia="zh-CN"/>
        </w:rPr>
        <w:t xml:space="preserve">No influence on UE. </w:t>
      </w:r>
      <w:r>
        <w:rPr>
          <w:rFonts w:ascii="Times New Roman" w:hAnsi="Times New Roman" w:eastAsia="宋体"/>
          <w:color w:val="000000"/>
          <w:kern w:val="2"/>
          <w:szCs w:val="20"/>
          <w:lang w:eastAsia="zh-CN"/>
        </w:rPr>
        <w:t>But lossless optimism needs to be considered between gNB and CN.</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Case 3 -&gt; Case 2:</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CN-to-gNB changes from PTP to PTM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7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⑦</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gNB-to-UE changes from PTP to PTM same as</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1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①</w:t>
      </w:r>
      <w:r>
        <w:rPr>
          <w:rFonts w:ascii="Times New Roman" w:hAnsi="Times New Roman" w:eastAsia="宋体"/>
          <w:color w:val="000000"/>
          <w:kern w:val="2"/>
          <w:szCs w:val="20"/>
          <w:lang w:eastAsia="zh-CN"/>
        </w:rPr>
        <w:fldChar w:fldCharType="end"/>
      </w:r>
    </w:p>
    <w:p>
      <w:pPr>
        <w:spacing w:before="120" w:beforeLines="50" w:after="180"/>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Individual delivery changes to multicast. The lossless optimization can be considered, e.g. SN status transfer/data forwarding like mechanisms, and the cost of these solutions are acceptable from the perspective of specification effort. </w:t>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In this case, no PDU session need set up.</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 xml:space="preserve">Case 3 -&gt; Case 4 </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CN-to-gNB PTP no changes.</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gNB-to-UE changes from PTP to PTM same as</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1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①</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Individual deliver changes at gNB to UE, thus the PDU session is no longer used at UE. </w:t>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If case 4 not supported, this case is not supported.</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 xml:space="preserve">Case 4 -&gt; Case 1 </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CN-to-gNB changes from PTP to PTM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7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⑦</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gNB-to-UE changes from PTM to PTP which is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4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④</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b/>
          <w:color w:val="000000"/>
          <w:kern w:val="2"/>
          <w:szCs w:val="20"/>
          <w:lang w:eastAsia="zh-CN"/>
        </w:rPr>
      </w:pPr>
      <w:r>
        <w:rPr>
          <w:rFonts w:ascii="Times New Roman" w:hAnsi="Times New Roman" w:eastAsia="宋体"/>
          <w:b/>
          <w:color w:val="000000"/>
          <w:kern w:val="2"/>
          <w:szCs w:val="20"/>
          <w:lang w:eastAsia="zh-CN"/>
        </w:rPr>
        <w:t>If case 4 not supported, this case is not supported.</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Case 4 -&gt; Case 3:</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CN-to-gNB PTP no changes.</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gNB-to-UE changes from PTM to PTP which is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3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③</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If case 4 not supported, this case is not supported.</w:t>
      </w:r>
    </w:p>
    <w:p>
      <w:pPr>
        <w:pStyle w:val="29"/>
        <w:numPr>
          <w:ilvl w:val="0"/>
          <w:numId w:val="4"/>
        </w:numPr>
        <w:spacing w:before="120" w:beforeLines="50" w:after="180"/>
        <w:ind w:firstLineChars="0"/>
        <w:rPr>
          <w:rFonts w:ascii="Times New Roman" w:hAnsi="Times New Roman"/>
          <w:b/>
          <w:color w:val="000000"/>
          <w:sz w:val="20"/>
          <w:szCs w:val="20"/>
        </w:rPr>
      </w:pPr>
      <w:r>
        <w:rPr>
          <w:rFonts w:ascii="Times New Roman" w:hAnsi="Times New Roman"/>
          <w:b/>
          <w:color w:val="000000"/>
          <w:sz w:val="20"/>
          <w:szCs w:val="20"/>
        </w:rPr>
        <w:t>Case 4 -&gt; Case 2:</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 xml:space="preserve">CN-to-gNB changes from PTP to PTM same as </w:t>
      </w:r>
      <w:r>
        <w:rPr>
          <w:rFonts w:ascii="Times New Roman" w:hAnsi="Times New Roman" w:eastAsia="宋体"/>
          <w:color w:val="000000"/>
          <w:kern w:val="2"/>
          <w:szCs w:val="20"/>
          <w:lang w:eastAsia="zh-CN"/>
        </w:rPr>
        <w:fldChar w:fldCharType="begin"/>
      </w:r>
      <w:r>
        <w:rPr>
          <w:rFonts w:ascii="Times New Roman" w:hAnsi="Times New Roman" w:eastAsia="宋体"/>
          <w:color w:val="000000"/>
          <w:kern w:val="2"/>
          <w:szCs w:val="20"/>
          <w:lang w:eastAsia="zh-CN"/>
        </w:rPr>
        <w:instrText xml:space="preserve"> = 7 \* GB3 </w:instrText>
      </w:r>
      <w:r>
        <w:rPr>
          <w:rFonts w:ascii="Times New Roman" w:hAnsi="Times New Roman" w:eastAsia="宋体"/>
          <w:color w:val="000000"/>
          <w:kern w:val="2"/>
          <w:szCs w:val="20"/>
          <w:lang w:eastAsia="zh-CN"/>
        </w:rPr>
        <w:fldChar w:fldCharType="separate"/>
      </w:r>
      <w:r>
        <w:rPr>
          <w:rFonts w:hint="eastAsia" w:ascii="宋体" w:hAnsi="宋体" w:eastAsia="宋体" w:cs="宋体"/>
          <w:color w:val="000000"/>
          <w:kern w:val="2"/>
          <w:szCs w:val="20"/>
          <w:lang w:eastAsia="zh-CN"/>
        </w:rPr>
        <w:t>⑦</w:t>
      </w:r>
      <w:r>
        <w:rPr>
          <w:rFonts w:ascii="Times New Roman" w:hAnsi="Times New Roman" w:eastAsia="宋体"/>
          <w:color w:val="000000"/>
          <w:kern w:val="2"/>
          <w:szCs w:val="20"/>
          <w:lang w:eastAsia="zh-CN"/>
        </w:rPr>
        <w:fldChar w:fldCharType="end"/>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gNB-to-UE PTM no changes.</w:t>
      </w:r>
    </w:p>
    <w:p>
      <w:pPr>
        <w:spacing w:before="120" w:beforeLines="50" w:after="180"/>
        <w:jc w:val="both"/>
        <w:rPr>
          <w:rFonts w:ascii="Times New Roman" w:hAnsi="Times New Roman" w:eastAsia="宋体"/>
          <w:b w:val="0"/>
          <w:bCs/>
          <w:color w:val="000000"/>
          <w:kern w:val="2"/>
          <w:szCs w:val="20"/>
          <w:lang w:eastAsia="zh-CN"/>
        </w:rPr>
      </w:pPr>
      <w:r>
        <w:rPr>
          <w:rFonts w:ascii="Times New Roman" w:hAnsi="Times New Roman" w:eastAsia="宋体"/>
          <w:b w:val="0"/>
          <w:bCs/>
          <w:color w:val="000000"/>
          <w:kern w:val="2"/>
          <w:szCs w:val="20"/>
          <w:lang w:eastAsia="zh-CN"/>
        </w:rPr>
        <w:t>If case 4 not supported, this case is not supported.</w:t>
      </w:r>
    </w:p>
    <w:p>
      <w:pPr>
        <w:spacing w:before="120" w:beforeLines="50" w:after="180"/>
        <w:jc w:val="both"/>
        <w:rPr>
          <w:rFonts w:ascii="Times New Roman" w:hAnsi="Times New Roman" w:eastAsia="宋体"/>
          <w:b w:val="0"/>
          <w:bCs/>
          <w:color w:val="000000"/>
          <w:kern w:val="2"/>
          <w:szCs w:val="20"/>
          <w:lang w:val="en-US" w:eastAsia="zh-CN"/>
        </w:rPr>
      </w:pPr>
      <w:r>
        <w:rPr>
          <w:rFonts w:ascii="Times New Roman" w:hAnsi="Times New Roman" w:eastAsia="宋体"/>
          <w:b w:val="0"/>
          <w:bCs/>
          <w:color w:val="000000"/>
          <w:kern w:val="2"/>
          <w:szCs w:val="20"/>
          <w:lang w:eastAsia="zh-CN"/>
        </w:rPr>
        <w:t>We can find that whether case 4 is supported will influence mobility case choose. So CN should first decide which MBS delivery method is to be used in this Release for further study</w:t>
      </w:r>
      <w:r>
        <w:rPr>
          <w:rFonts w:hint="eastAsia" w:ascii="Times New Roman" w:hAnsi="Times New Roman" w:eastAsia="宋体"/>
          <w:b w:val="0"/>
          <w:bCs/>
          <w:color w:val="000000"/>
          <w:kern w:val="2"/>
          <w:szCs w:val="20"/>
          <w:lang w:val="en-US" w:eastAsia="zh-CN"/>
        </w:rPr>
        <w:t>.</w:t>
      </w:r>
    </w:p>
    <w:p>
      <w:pPr>
        <w:spacing w:before="120" w:beforeLines="50" w:after="180"/>
        <w:rPr>
          <w:rFonts w:ascii="Times New Roman" w:hAnsi="Times New Roman" w:eastAsia="宋体"/>
          <w:b/>
          <w:color w:val="000000"/>
          <w:kern w:val="2"/>
          <w:sz w:val="22"/>
          <w:szCs w:val="22"/>
          <w:lang w:eastAsia="zh-CN"/>
        </w:rPr>
      </w:pPr>
      <w:r>
        <w:rPr>
          <w:rFonts w:ascii="Times New Roman" w:hAnsi="Times New Roman" w:eastAsiaTheme="minorEastAsia"/>
          <w:b/>
          <w:bCs/>
          <w:sz w:val="22"/>
          <w:szCs w:val="22"/>
          <w:lang w:eastAsia="zh-CN"/>
        </w:rPr>
        <w:t>Proposal 1: RAN3 is kindly requested to discuss whether to support lossless mobility when the source CN is PTP/PTM, and the target CN is PTM/PTP.</w:t>
      </w:r>
    </w:p>
    <w:p>
      <w:pPr>
        <w:spacing w:before="120" w:beforeLines="50" w:after="180"/>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On addition, we take MR DC into considering. There’re four mobility case:</w:t>
      </w:r>
    </w:p>
    <w:p>
      <w:pPr>
        <w:pStyle w:val="29"/>
        <w:numPr>
          <w:ilvl w:val="0"/>
          <w:numId w:val="5"/>
        </w:numPr>
        <w:spacing w:before="120" w:beforeLines="50" w:after="180"/>
        <w:ind w:firstLineChars="0"/>
        <w:rPr>
          <w:rFonts w:ascii="Times New Roman" w:hAnsi="Times New Roman"/>
          <w:color w:val="000000"/>
          <w:sz w:val="20"/>
          <w:szCs w:val="20"/>
        </w:rPr>
      </w:pPr>
      <w:r>
        <w:rPr>
          <w:rFonts w:ascii="Times New Roman" w:hAnsi="Times New Roman"/>
          <w:color w:val="000000"/>
          <w:sz w:val="20"/>
          <w:szCs w:val="20"/>
        </w:rPr>
        <w:t>Handover: Master Node handover with/without Secondary Node change</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Master Node handover with/without MN initiated Secondary Node change is used to transfer context data from a source MN to a target MN while the context at the SN is kept or moved to another SN. During an Inter-Master Node handover, the target MN decides whether to keep or change the SN.</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Target MN will decide the PTP or PTM transmission of target MN and SN.</w:t>
      </w:r>
    </w:p>
    <w:p>
      <w:pPr>
        <w:pStyle w:val="35"/>
        <w:spacing w:before="120"/>
        <w:rPr>
          <w:rFonts w:ascii="Times New Roman" w:hAnsi="Times New Roman"/>
        </w:rPr>
      </w:pPr>
      <w:r>
        <w:rPr>
          <w:rFonts w:ascii="Times New Roman" w:hAnsi="Times New Roman"/>
        </w:rPr>
        <w:object>
          <v:shape id="_x0000_i1026" o:spt="75" type="#_x0000_t75" style="height:219.4pt;width:441.5pt;" o:ole="t" filled="f" o:preferrelative="t" stroked="f" coordsize="21600,21600">
            <v:path/>
            <v:fill on="f" focussize="0,0"/>
            <v:stroke on="f" joinstyle="miter"/>
            <v:imagedata r:id="rId8" cropright="-24550f" o:title=""/>
            <o:lock v:ext="edit" aspectratio="t"/>
            <w10:wrap type="none"/>
            <w10:anchorlock/>
          </v:shape>
          <o:OLEObject Type="Embed" ProgID="Visio.Drawing.15" ShapeID="_x0000_i1026" DrawAspect="Content" ObjectID="_1468075726" r:id="rId7">
            <o:LockedField>false</o:LockedField>
          </o:OLEObject>
        </w:object>
      </w:r>
    </w:p>
    <w:p>
      <w:pPr>
        <w:pStyle w:val="37"/>
        <w:spacing w:before="120"/>
        <w:rPr>
          <w:rFonts w:ascii="Times New Roman" w:hAnsi="Times New Roman"/>
        </w:rPr>
      </w:pPr>
      <w:r>
        <w:rPr>
          <w:rFonts w:ascii="Times New Roman" w:hAnsi="Times New Roman"/>
        </w:rPr>
        <w:t>Figure 10.7.1-1: MN handover with/without MN initiated SN change</w:t>
      </w:r>
    </w:p>
    <w:p>
      <w:pPr>
        <w:rPr>
          <w:rFonts w:ascii="Times New Roman" w:hAnsi="Times New Roman" w:eastAsia="宋体"/>
          <w:color w:val="000000"/>
          <w:kern w:val="2"/>
          <w:szCs w:val="20"/>
          <w:lang w:val="en-GB" w:eastAsia="zh-CN"/>
        </w:rPr>
      </w:pPr>
    </w:p>
    <w:p>
      <w:pPr>
        <w:pStyle w:val="29"/>
        <w:numPr>
          <w:ilvl w:val="0"/>
          <w:numId w:val="5"/>
        </w:numPr>
        <w:spacing w:before="120" w:beforeLines="50" w:after="180"/>
        <w:ind w:firstLineChars="0"/>
        <w:rPr>
          <w:rFonts w:ascii="Times New Roman" w:hAnsi="Times New Roman"/>
          <w:color w:val="000000"/>
          <w:sz w:val="20"/>
          <w:szCs w:val="20"/>
        </w:rPr>
      </w:pPr>
      <w:r>
        <w:rPr>
          <w:rFonts w:ascii="Times New Roman" w:hAnsi="Times New Roman"/>
          <w:color w:val="000000"/>
          <w:sz w:val="20"/>
          <w:szCs w:val="20"/>
        </w:rPr>
        <w:t>SN change</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The Secondary Node Change procedure is initiated either by MN or SN and used to transfer a UE context from a source SN to a target SN and to change the SCG configuration in UE from one SN to another.</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The Secondary Node Change procedure always involves signalling over MCG SRB towards the UE.</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If MN initiates SN change, then MN has to decide the PTP/PTM delivery method of target SN before informing source SN.</w:t>
      </w:r>
    </w:p>
    <w:p>
      <w:pPr>
        <w:pStyle w:val="35"/>
        <w:rPr>
          <w:rFonts w:ascii="Times New Roman" w:hAnsi="Times New Roman"/>
        </w:rPr>
      </w:pPr>
      <w:r>
        <w:rPr>
          <w:rFonts w:ascii="Times New Roman" w:hAnsi="Times New Roman"/>
        </w:rPr>
        <w:object>
          <v:shape id="_x0000_i1027" o:spt="75" type="#_x0000_t75" style="height:165.75pt;width:287.3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37"/>
        <w:rPr>
          <w:rFonts w:ascii="Times New Roman" w:hAnsi="Times New Roman"/>
        </w:rPr>
      </w:pPr>
      <w:r>
        <w:rPr>
          <w:rFonts w:ascii="Times New Roman" w:hAnsi="Times New Roman"/>
        </w:rPr>
        <w:t>Figure 10.5.1-1: SN Change – MN initiated</w:t>
      </w:r>
    </w:p>
    <w:p>
      <w:pPr>
        <w:rPr>
          <w:rFonts w:ascii="Times New Roman" w:hAnsi="Times New Roman" w:eastAsia="宋体"/>
          <w:color w:val="000000"/>
          <w:kern w:val="2"/>
          <w:szCs w:val="20"/>
          <w:lang w:val="en-GB" w:eastAsia="zh-CN"/>
        </w:rPr>
      </w:pPr>
      <w:r>
        <w:rPr>
          <w:rFonts w:ascii="Times New Roman" w:hAnsi="Times New Roman" w:eastAsia="宋体"/>
          <w:color w:val="000000"/>
          <w:kern w:val="2"/>
          <w:szCs w:val="20"/>
          <w:lang w:val="en-GB" w:eastAsia="zh-CN"/>
        </w:rPr>
        <w:t>If SN initiates SN change, the source SN has to inform MN about the delivery method it wants to change and MN may acknowledge or reject SN.</w:t>
      </w:r>
    </w:p>
    <w:p>
      <w:pPr>
        <w:pStyle w:val="35"/>
        <w:rPr>
          <w:rFonts w:ascii="Times New Roman" w:hAnsi="Times New Roman"/>
        </w:rPr>
      </w:pPr>
      <w:bookmarkStart w:id="7" w:name="_Hlk47606514"/>
      <w:r>
        <w:rPr>
          <w:rFonts w:ascii="Times New Roman" w:hAnsi="Times New Roman"/>
        </w:rPr>
        <w:object>
          <v:shape id="_x0000_i1028" o:spt="75" type="#_x0000_t75" style="height:167.75pt;width:291.4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bookmarkEnd w:id="7"/>
    </w:p>
    <w:p>
      <w:pPr>
        <w:pStyle w:val="37"/>
        <w:rPr>
          <w:rFonts w:ascii="Times New Roman" w:hAnsi="Times New Roman"/>
        </w:rPr>
      </w:pPr>
      <w:r>
        <w:rPr>
          <w:rFonts w:ascii="Times New Roman" w:hAnsi="Times New Roman"/>
        </w:rPr>
        <w:t>Figure 10.5.1-2: SN Change – SN initiated</w:t>
      </w:r>
    </w:p>
    <w:p>
      <w:pPr>
        <w:rPr>
          <w:rFonts w:ascii="Times New Roman" w:hAnsi="Times New Roman" w:eastAsia="宋体"/>
          <w:color w:val="000000"/>
          <w:kern w:val="2"/>
          <w:szCs w:val="20"/>
          <w:lang w:eastAsia="zh-CN"/>
        </w:rPr>
      </w:pPr>
    </w:p>
    <w:p>
      <w:pPr>
        <w:pStyle w:val="29"/>
        <w:numPr>
          <w:ilvl w:val="0"/>
          <w:numId w:val="5"/>
        </w:numPr>
        <w:spacing w:before="120" w:beforeLines="50" w:after="180"/>
        <w:ind w:firstLineChars="0"/>
        <w:rPr>
          <w:rFonts w:ascii="Times New Roman" w:hAnsi="Times New Roman"/>
          <w:color w:val="000000"/>
          <w:sz w:val="20"/>
          <w:szCs w:val="20"/>
        </w:rPr>
      </w:pPr>
      <w:r>
        <w:rPr>
          <w:rFonts w:ascii="Times New Roman" w:hAnsi="Times New Roman"/>
          <w:color w:val="000000"/>
          <w:sz w:val="20"/>
          <w:szCs w:val="20"/>
        </w:rPr>
        <w:t>SN addition</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 TS37.340[3].</w:t>
      </w:r>
    </w:p>
    <w:p>
      <w:pPr>
        <w:pStyle w:val="35"/>
        <w:rPr>
          <w:rFonts w:ascii="Times New Roman" w:hAnsi="Times New Roman"/>
        </w:rPr>
      </w:pPr>
      <w:r>
        <w:rPr>
          <w:rFonts w:ascii="Times New Roman" w:hAnsi="Times New Roman"/>
        </w:rPr>
        <w:object>
          <v:shape id="_x0000_i1029" o:spt="75" type="#_x0000_t75" style="height:169.15pt;width:287.3pt;" o:ole="t" filled="f" o:preferrelative="t" stroked="f" coordsize="21600,21600">
            <v:path/>
            <v:fill on="f" focussize="0,0"/>
            <v:stroke on="f" joinstyle="miter"/>
            <v:imagedata r:id="rId14" o:title=""/>
            <o:lock v:ext="edit" aspectratio="f"/>
            <w10:wrap type="none"/>
            <w10:anchorlock/>
          </v:shape>
          <o:OLEObject Type="Embed" ProgID="Visio.Drawing.11" ShapeID="_x0000_i1029" DrawAspect="Content" ObjectID="_1468075729" r:id="rId13">
            <o:LockedField>false</o:LockedField>
          </o:OLEObject>
        </w:object>
      </w:r>
    </w:p>
    <w:p>
      <w:pPr>
        <w:pStyle w:val="37"/>
        <w:rPr>
          <w:rFonts w:ascii="Times New Roman" w:hAnsi="Times New Roman"/>
        </w:rPr>
      </w:pPr>
      <w:r>
        <w:rPr>
          <w:rFonts w:ascii="Times New Roman" w:hAnsi="Times New Roman"/>
        </w:rPr>
        <w:t xml:space="preserve">Figure </w:t>
      </w:r>
      <w:r>
        <w:rPr>
          <w:rFonts w:ascii="Times New Roman" w:hAnsi="Times New Roman"/>
          <w:lang w:eastAsia="zh-CN"/>
        </w:rPr>
        <w:t>10.2.2</w:t>
      </w:r>
      <w:r>
        <w:rPr>
          <w:rFonts w:ascii="Times New Roman" w:hAnsi="Times New Roman"/>
        </w:rPr>
        <w:t>-</w:t>
      </w:r>
      <w:r>
        <w:rPr>
          <w:rFonts w:ascii="Times New Roman" w:hAnsi="Times New Roman"/>
          <w:lang w:eastAsia="zh-CN"/>
        </w:rPr>
        <w:t>1</w:t>
      </w:r>
      <w:r>
        <w:rPr>
          <w:rFonts w:ascii="Times New Roman" w:hAnsi="Times New Roman"/>
        </w:rPr>
        <w:t>: S</w:t>
      </w:r>
      <w:r>
        <w:rPr>
          <w:rFonts w:ascii="Times New Roman" w:hAnsi="Times New Roman"/>
          <w:lang w:eastAsia="zh-CN"/>
        </w:rPr>
        <w:t>N</w:t>
      </w:r>
      <w:r>
        <w:rPr>
          <w:rFonts w:ascii="Times New Roman" w:hAnsi="Times New Roman"/>
        </w:rPr>
        <w:t xml:space="preserve"> Addition procedure</w:t>
      </w:r>
    </w:p>
    <w:p>
      <w:pPr>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MN has to decide the delivery method.</w:t>
      </w:r>
    </w:p>
    <w:p>
      <w:pPr>
        <w:pStyle w:val="29"/>
        <w:numPr>
          <w:ilvl w:val="0"/>
          <w:numId w:val="5"/>
        </w:numPr>
        <w:spacing w:before="120" w:beforeLines="50" w:after="180"/>
        <w:ind w:firstLineChars="0"/>
        <w:rPr>
          <w:rFonts w:ascii="Times New Roman" w:hAnsi="Times New Roman"/>
          <w:color w:val="000000"/>
          <w:sz w:val="20"/>
          <w:szCs w:val="20"/>
        </w:rPr>
      </w:pPr>
      <w:r>
        <w:rPr>
          <w:rFonts w:ascii="Times New Roman" w:hAnsi="Times New Roman"/>
          <w:color w:val="000000"/>
          <w:sz w:val="20"/>
          <w:szCs w:val="20"/>
        </w:rPr>
        <w:t>SN modification.</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the case of CPC, this procedure is used to configure or modify CPC configuration within the same SN.</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The Secondary Node modification procedure does not necessarily need to involve signalling towards the UE.</w:t>
      </w:r>
    </w:p>
    <w:p>
      <w:pPr>
        <w:pStyle w:val="35"/>
        <w:rPr>
          <w:rFonts w:ascii="Times New Roman" w:hAnsi="Times New Roman"/>
          <w:lang w:eastAsia="zh-CN"/>
        </w:rPr>
      </w:pPr>
      <w:r>
        <w:rPr>
          <w:rFonts w:ascii="Times New Roman" w:hAnsi="Times New Roman"/>
        </w:rPr>
        <w:object>
          <v:shape id="_x0000_i1030" o:spt="75" type="#_x0000_t75" style="height:157.6pt;width:372.25pt;" o:ole="t" filled="f" o:preferrelative="t" stroked="f" coordsize="21600,21600">
            <v:path/>
            <v:fill on="f" focussize="0,0"/>
            <v:stroke on="f" joinstyle="miter"/>
            <v:imagedata r:id="rId16" cropright="-18937f" o:title=""/>
            <o:lock v:ext="edit" aspectratio="t"/>
            <w10:wrap type="none"/>
            <w10:anchorlock/>
          </v:shape>
          <o:OLEObject Type="Embed" ProgID="Visio.Drawing.11" ShapeID="_x0000_i1030" DrawAspect="Content" ObjectID="_1468075730" r:id="rId15">
            <o:LockedField>false</o:LockedField>
          </o:OLEObject>
        </w:object>
      </w:r>
    </w:p>
    <w:p>
      <w:pPr>
        <w:pStyle w:val="37"/>
        <w:rPr>
          <w:rFonts w:ascii="Times New Roman" w:hAnsi="Times New Roman"/>
        </w:rPr>
      </w:pPr>
      <w:r>
        <w:rPr>
          <w:rFonts w:ascii="Times New Roman" w:hAnsi="Times New Roman"/>
        </w:rPr>
        <w:t xml:space="preserve">Figure </w:t>
      </w:r>
      <w:r>
        <w:rPr>
          <w:rFonts w:ascii="Times New Roman" w:hAnsi="Times New Roman"/>
          <w:lang w:eastAsia="zh-CN"/>
        </w:rPr>
        <w:t>10.3.2</w:t>
      </w:r>
      <w:r>
        <w:rPr>
          <w:rFonts w:ascii="Times New Roman" w:hAnsi="Times New Roman"/>
        </w:rPr>
        <w:t>-</w:t>
      </w:r>
      <w:r>
        <w:rPr>
          <w:rFonts w:ascii="Times New Roman" w:hAnsi="Times New Roman"/>
          <w:lang w:eastAsia="zh-CN"/>
        </w:rPr>
        <w:t>1</w:t>
      </w:r>
      <w:r>
        <w:rPr>
          <w:rFonts w:ascii="Times New Roman" w:hAnsi="Times New Roman"/>
        </w:rPr>
        <w:t xml:space="preserve">: </w:t>
      </w:r>
      <w:r>
        <w:rPr>
          <w:rFonts w:ascii="Times New Roman" w:hAnsi="Times New Roman"/>
          <w:lang w:eastAsia="zh-CN"/>
        </w:rPr>
        <w:t xml:space="preserve">SN Modification </w:t>
      </w:r>
      <w:r>
        <w:rPr>
          <w:rFonts w:ascii="Times New Roman" w:hAnsi="Times New Roman"/>
        </w:rPr>
        <w:t>procedure</w:t>
      </w:r>
      <w:r>
        <w:rPr>
          <w:rFonts w:ascii="Times New Roman" w:hAnsi="Times New Roman"/>
          <w:lang w:eastAsia="zh-CN"/>
        </w:rPr>
        <w:t xml:space="preserve"> - MN initiated</w:t>
      </w:r>
    </w:p>
    <w:p>
      <w:pPr>
        <w:pStyle w:val="29"/>
        <w:numPr>
          <w:ilvl w:val="0"/>
          <w:numId w:val="5"/>
        </w:numPr>
        <w:spacing w:before="120" w:beforeLines="50" w:after="180"/>
        <w:ind w:firstLineChars="0"/>
        <w:rPr>
          <w:rFonts w:ascii="Times New Roman" w:hAnsi="Times New Roman"/>
          <w:color w:val="000000"/>
          <w:sz w:val="20"/>
          <w:szCs w:val="20"/>
        </w:rPr>
      </w:pPr>
      <w:r>
        <w:rPr>
          <w:rFonts w:ascii="Times New Roman" w:hAnsi="Times New Roman"/>
          <w:color w:val="000000"/>
          <w:sz w:val="20"/>
          <w:szCs w:val="20"/>
        </w:rPr>
        <w:t>SN release</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The Secondary Node Release procedure may be initiated either by the MN or by the SN and is used to initiate the release of the UE context at the SN. The recipient node of this request can reject it, e.g., if an SN change procedure is triggered by the SN.</w:t>
      </w:r>
    </w:p>
    <w:p>
      <w:pPr>
        <w:jc w:val="both"/>
        <w:rPr>
          <w:rFonts w:ascii="Times New Roman" w:hAnsi="Times New Roman" w:eastAsia="宋体"/>
          <w:color w:val="000000"/>
          <w:kern w:val="2"/>
          <w:szCs w:val="20"/>
          <w:lang w:eastAsia="zh-CN"/>
        </w:rPr>
      </w:pPr>
      <w:r>
        <w:rPr>
          <w:rFonts w:ascii="Times New Roman" w:hAnsi="Times New Roman" w:eastAsia="宋体"/>
          <w:color w:val="000000"/>
          <w:kern w:val="2"/>
          <w:szCs w:val="20"/>
          <w:lang w:eastAsia="zh-CN"/>
        </w:rPr>
        <w:t>It does not necessarily need to involve signalling towards the UE, e.g., in case of the RRC connection re-establishment due to Radio Link Failure in MN.</w:t>
      </w:r>
    </w:p>
    <w:p>
      <w:pPr>
        <w:spacing w:before="120" w:beforeLines="50" w:after="180"/>
        <w:rPr>
          <w:rFonts w:ascii="Times New Roman" w:hAnsi="Times New Roman" w:eastAsia="宋体"/>
          <w:color w:val="000000"/>
          <w:szCs w:val="20"/>
          <w:lang w:eastAsia="zh-CN"/>
        </w:rPr>
      </w:pPr>
      <w:r>
        <w:rPr>
          <w:rFonts w:ascii="Times New Roman" w:hAnsi="Times New Roman" w:eastAsia="宋体"/>
          <w:color w:val="000000"/>
          <w:szCs w:val="20"/>
          <w:lang w:eastAsia="zh-CN"/>
        </w:rPr>
        <w:t>In this case, MBS service needs to be transmitted at MN for continuity.</w:t>
      </w:r>
    </w:p>
    <w:p>
      <w:pPr>
        <w:pStyle w:val="8"/>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Proposal 1: RAN3 is kindly requested to discuss which of the following mobility scenarios are supported for the switching between PTP and PTM:</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Handover (i.e. source MN (PTP/PTM) and target MN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change (i.e. source SN(PTP/PTM) and target SN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addition (i.e. source MN(PTP/PTM) and target SN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modification (i.e. source/target MN(PTP/PTM) and target/source SN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release (i.e. change to MN MBS receiving)</w:t>
      </w:r>
    </w:p>
    <w:p>
      <w:pPr>
        <w:pStyle w:val="8"/>
        <w:spacing w:before="120" w:beforeLines="50" w:after="180"/>
        <w:rPr>
          <w:rFonts w:ascii="Times New Roman" w:hAnsi="Times New Roman" w:eastAsiaTheme="minorEastAsia"/>
          <w:bCs/>
          <w:szCs w:val="20"/>
          <w:lang w:eastAsia="zh-CN"/>
        </w:rPr>
      </w:pP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pPr>
        <w:pStyle w:val="8"/>
        <w:spacing w:before="120" w:beforeLines="50" w:after="180"/>
        <w:rPr>
          <w:rFonts w:ascii="Times New Roman" w:hAnsi="Times New Roman" w:eastAsiaTheme="minorEastAsia"/>
          <w:bCs/>
          <w:szCs w:val="20"/>
          <w:lang w:eastAsia="zh-CN"/>
        </w:rPr>
      </w:pPr>
      <w:r>
        <w:rPr>
          <w:rFonts w:ascii="Times New Roman" w:hAnsi="Times New Roman" w:eastAsiaTheme="minorEastAsia"/>
          <w:bCs/>
          <w:szCs w:val="20"/>
          <w:lang w:eastAsia="zh-CN"/>
        </w:rPr>
        <w:t>Based on the discussion, we observe and propose the followings:</w:t>
      </w:r>
    </w:p>
    <w:p>
      <w:pPr>
        <w:pStyle w:val="8"/>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 xml:space="preserve">Proposal 1: RAN3 is kindly requested to discuss whether to support lossless mobility when the source CN is PTP/PTM, and the target CN is PTM/PTP. </w:t>
      </w:r>
    </w:p>
    <w:p>
      <w:pPr>
        <w:pStyle w:val="8"/>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Proposal 2: RAN3 is kindly requested to discuss which of the following mobility scenarios are supported for the switching between PTP and PTM:</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Handover (i.e. source MN (PTP/PTM) and target MN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change (i.e. source SN(PTP/PTM) and target SN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addition (i.e. source MN(PTP/PTM) and target SN (PTM/PTP))</w:t>
      </w:r>
    </w:p>
    <w:p>
      <w:pPr>
        <w:pStyle w:val="8"/>
        <w:numPr>
          <w:ilvl w:val="0"/>
          <w:numId w:val="6"/>
        </w:numPr>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SN modification (i.e. source/target MN(PTP/PTM) and target/source SN (PTM/PTP))</w:t>
      </w:r>
    </w:p>
    <w:bookmarkEnd w:id="5"/>
    <w:bookmarkEnd w:id="6"/>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pPr>
        <w:pStyle w:val="8"/>
        <w:numPr>
          <w:ilvl w:val="0"/>
          <w:numId w:val="7"/>
        </w:numPr>
        <w:rPr>
          <w:rFonts w:ascii="Times New Roman" w:hAnsi="Times New Roman" w:eastAsiaTheme="minorEastAsia"/>
          <w:lang w:val="en-GB" w:eastAsia="zh-CN"/>
        </w:rPr>
      </w:pPr>
      <w:r>
        <w:rPr>
          <w:rFonts w:ascii="Times New Roman" w:hAnsi="Times New Roman" w:eastAsia="宋体"/>
          <w:color w:val="000000"/>
          <w:lang w:eastAsia="zh-CN"/>
        </w:rPr>
        <w:t>RP-201038, WID revision: NR Multicast and Broadcast Services, RAN#88e, Huawei</w:t>
      </w:r>
    </w:p>
    <w:p>
      <w:pPr>
        <w:pStyle w:val="8"/>
        <w:numPr>
          <w:ilvl w:val="0"/>
          <w:numId w:val="7"/>
        </w:numPr>
        <w:snapToGrid w:val="0"/>
        <w:spacing w:line="268" w:lineRule="auto"/>
        <w:contextualSpacing/>
        <w:rPr>
          <w:rFonts w:ascii="Times New Roman" w:hAnsi="Times New Roman" w:eastAsia="宋体"/>
          <w:color w:val="000000"/>
          <w:lang w:eastAsia="zh-CN"/>
        </w:rPr>
      </w:pPr>
      <w:r>
        <w:rPr>
          <w:rFonts w:ascii="Times New Roman" w:hAnsi="Times New Roman" w:eastAsia="宋体"/>
          <w:color w:val="000000"/>
          <w:lang w:eastAsia="zh-CN"/>
        </w:rPr>
        <w:t xml:space="preserve">TR23.757, </w:t>
      </w:r>
      <w:r>
        <w:rPr>
          <w:rFonts w:ascii="Times New Roman" w:hAnsi="Times New Roman"/>
        </w:rPr>
        <w:t>Study on architectural enhancements for 5G multicast-broadcast services (</w:t>
      </w:r>
      <w:r>
        <w:rPr>
          <w:rStyle w:val="40"/>
          <w:rFonts w:ascii="Times New Roman" w:hAnsi="Times New Roman"/>
        </w:rPr>
        <w:t>Release 17</w:t>
      </w:r>
      <w:r>
        <w:rPr>
          <w:rFonts w:ascii="Times New Roman" w:hAnsi="Times New Roman"/>
        </w:rPr>
        <w:t>), v0.4.0, 2020-06;</w:t>
      </w:r>
    </w:p>
    <w:p>
      <w:pPr>
        <w:pStyle w:val="8"/>
        <w:numPr>
          <w:ilvl w:val="0"/>
          <w:numId w:val="7"/>
        </w:numPr>
        <w:rPr>
          <w:rFonts w:ascii="Times New Roman" w:hAnsi="Times New Roman" w:eastAsiaTheme="minorEastAsia"/>
          <w:lang w:val="en-GB" w:eastAsia="zh-CN"/>
        </w:rPr>
      </w:pPr>
      <w:r>
        <w:rPr>
          <w:rFonts w:ascii="Times New Roman" w:hAnsi="Times New Roman" w:eastAsiaTheme="minorEastAsia"/>
          <w:lang w:val="en-GB" w:eastAsia="zh-CN"/>
        </w:rPr>
        <w:t>TS37.340 “Multi-connectivity”, V16.2.0 (2020-07)</w:t>
      </w: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楷体_GB2312">
    <w:altName w:val="楷体"/>
    <w:panose1 w:val="00000000000000000000"/>
    <w:charset w:val="86"/>
    <w:family w:val="modern"/>
    <w:pitch w:val="default"/>
    <w:sig w:usb0="00000000" w:usb1="00000000"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B5A1E"/>
    <w:multiLevelType w:val="multilevel"/>
    <w:tmpl w:val="1CCB5A1E"/>
    <w:lvl w:ilvl="0" w:tentative="0">
      <w:start w:val="1"/>
      <w:numFmt w:val="decimalEnclosedCircl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6B79A6"/>
    <w:multiLevelType w:val="multilevel"/>
    <w:tmpl w:val="396B79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0514A73"/>
    <w:multiLevelType w:val="multilevel"/>
    <w:tmpl w:val="60514A7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DF3883"/>
    <w:multiLevelType w:val="singleLevel"/>
    <w:tmpl w:val="69DF3883"/>
    <w:lvl w:ilvl="0" w:tentative="0">
      <w:start w:val="1"/>
      <w:numFmt w:val="decimal"/>
      <w:suff w:val="space"/>
      <w:lvlText w:val="[%1]."/>
      <w:lvlJc w:val="left"/>
    </w:lvl>
  </w:abstractNum>
  <w:abstractNum w:abstractNumId="4">
    <w:nsid w:val="6D6C0433"/>
    <w:multiLevelType w:val="multilevel"/>
    <w:tmpl w:val="6D6C0433"/>
    <w:lvl w:ilvl="0" w:tentative="0">
      <w:start w:val="1"/>
      <w:numFmt w:val="decimal"/>
      <w:lvlText w:val="%1."/>
      <w:lvlJc w:val="left"/>
      <w:pPr>
        <w:tabs>
          <w:tab w:val="left" w:pos="425"/>
        </w:tabs>
        <w:ind w:left="425" w:hanging="425"/>
      </w:pPr>
      <w:rPr>
        <w:rFonts w:hint="eastAsia"/>
      </w:rPr>
    </w:lvl>
    <w:lvl w:ilvl="1" w:tentative="0">
      <w:start w:val="1"/>
      <w:numFmt w:val="decimal"/>
      <w:lvlText w:val="2.%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4"/>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05EEE"/>
    <w:rsid w:val="00013BA4"/>
    <w:rsid w:val="00021FF5"/>
    <w:rsid w:val="00030D58"/>
    <w:rsid w:val="00031C98"/>
    <w:rsid w:val="00050996"/>
    <w:rsid w:val="00053378"/>
    <w:rsid w:val="00053F30"/>
    <w:rsid w:val="0005671C"/>
    <w:rsid w:val="00061CA6"/>
    <w:rsid w:val="000759B1"/>
    <w:rsid w:val="00075ADB"/>
    <w:rsid w:val="00076671"/>
    <w:rsid w:val="00076BB2"/>
    <w:rsid w:val="00083F3F"/>
    <w:rsid w:val="00085FBD"/>
    <w:rsid w:val="000967C3"/>
    <w:rsid w:val="000A491D"/>
    <w:rsid w:val="000A5B7F"/>
    <w:rsid w:val="000A6217"/>
    <w:rsid w:val="000B159D"/>
    <w:rsid w:val="000B1A9E"/>
    <w:rsid w:val="000C0F56"/>
    <w:rsid w:val="000C3A3B"/>
    <w:rsid w:val="000C3F53"/>
    <w:rsid w:val="000D080C"/>
    <w:rsid w:val="000D0AFC"/>
    <w:rsid w:val="000D0B43"/>
    <w:rsid w:val="000E69BE"/>
    <w:rsid w:val="000E7279"/>
    <w:rsid w:val="001035F3"/>
    <w:rsid w:val="00105816"/>
    <w:rsid w:val="0011641E"/>
    <w:rsid w:val="00120EC7"/>
    <w:rsid w:val="00127927"/>
    <w:rsid w:val="00127F8B"/>
    <w:rsid w:val="00135741"/>
    <w:rsid w:val="00145FCC"/>
    <w:rsid w:val="001506BC"/>
    <w:rsid w:val="00150AA9"/>
    <w:rsid w:val="00155FE3"/>
    <w:rsid w:val="00166FC4"/>
    <w:rsid w:val="00173365"/>
    <w:rsid w:val="00173766"/>
    <w:rsid w:val="0017397A"/>
    <w:rsid w:val="001821FA"/>
    <w:rsid w:val="001A1853"/>
    <w:rsid w:val="001A1AAB"/>
    <w:rsid w:val="001A45D9"/>
    <w:rsid w:val="001B0DBA"/>
    <w:rsid w:val="001B171A"/>
    <w:rsid w:val="001B34BB"/>
    <w:rsid w:val="001B5026"/>
    <w:rsid w:val="001C66F5"/>
    <w:rsid w:val="001D1F2D"/>
    <w:rsid w:val="001D3D82"/>
    <w:rsid w:val="001D5248"/>
    <w:rsid w:val="001D656C"/>
    <w:rsid w:val="001E060A"/>
    <w:rsid w:val="001E72FB"/>
    <w:rsid w:val="001F0043"/>
    <w:rsid w:val="001F035E"/>
    <w:rsid w:val="001F52D0"/>
    <w:rsid w:val="001F5BE5"/>
    <w:rsid w:val="001F6507"/>
    <w:rsid w:val="002004B0"/>
    <w:rsid w:val="002027B4"/>
    <w:rsid w:val="0020637C"/>
    <w:rsid w:val="00207151"/>
    <w:rsid w:val="00212BF6"/>
    <w:rsid w:val="00214EE4"/>
    <w:rsid w:val="00215355"/>
    <w:rsid w:val="00215864"/>
    <w:rsid w:val="002158B3"/>
    <w:rsid w:val="00217A73"/>
    <w:rsid w:val="0022535E"/>
    <w:rsid w:val="00225CF3"/>
    <w:rsid w:val="00226B87"/>
    <w:rsid w:val="00227E50"/>
    <w:rsid w:val="00242A31"/>
    <w:rsid w:val="00247DD8"/>
    <w:rsid w:val="002567AE"/>
    <w:rsid w:val="0026335C"/>
    <w:rsid w:val="002705CC"/>
    <w:rsid w:val="00273FB3"/>
    <w:rsid w:val="00274BC6"/>
    <w:rsid w:val="00276735"/>
    <w:rsid w:val="00276ECE"/>
    <w:rsid w:val="0028022E"/>
    <w:rsid w:val="002826E5"/>
    <w:rsid w:val="00295260"/>
    <w:rsid w:val="002A02AD"/>
    <w:rsid w:val="002A0627"/>
    <w:rsid w:val="002A2FB6"/>
    <w:rsid w:val="002A4DF4"/>
    <w:rsid w:val="002A7120"/>
    <w:rsid w:val="002B0636"/>
    <w:rsid w:val="002B1F12"/>
    <w:rsid w:val="002B2A90"/>
    <w:rsid w:val="002B4967"/>
    <w:rsid w:val="002E1D30"/>
    <w:rsid w:val="002E5134"/>
    <w:rsid w:val="002E57AE"/>
    <w:rsid w:val="002F0646"/>
    <w:rsid w:val="002F7B55"/>
    <w:rsid w:val="0030001D"/>
    <w:rsid w:val="00311FE7"/>
    <w:rsid w:val="00320391"/>
    <w:rsid w:val="0032535F"/>
    <w:rsid w:val="00331285"/>
    <w:rsid w:val="0033667B"/>
    <w:rsid w:val="00357A02"/>
    <w:rsid w:val="0036342B"/>
    <w:rsid w:val="003700E6"/>
    <w:rsid w:val="00372DA1"/>
    <w:rsid w:val="00375E24"/>
    <w:rsid w:val="00387DAB"/>
    <w:rsid w:val="003A0664"/>
    <w:rsid w:val="003A0B80"/>
    <w:rsid w:val="003A22D2"/>
    <w:rsid w:val="003A55FD"/>
    <w:rsid w:val="003A7D6F"/>
    <w:rsid w:val="003A7D8B"/>
    <w:rsid w:val="003B183A"/>
    <w:rsid w:val="003B7C80"/>
    <w:rsid w:val="003C36A0"/>
    <w:rsid w:val="003C4CE5"/>
    <w:rsid w:val="003C5955"/>
    <w:rsid w:val="003F15A1"/>
    <w:rsid w:val="004026AD"/>
    <w:rsid w:val="004143D6"/>
    <w:rsid w:val="00427A7B"/>
    <w:rsid w:val="0043168C"/>
    <w:rsid w:val="004521D3"/>
    <w:rsid w:val="00454E30"/>
    <w:rsid w:val="00461B98"/>
    <w:rsid w:val="00461FB5"/>
    <w:rsid w:val="0046649C"/>
    <w:rsid w:val="004719C5"/>
    <w:rsid w:val="00472555"/>
    <w:rsid w:val="0047269B"/>
    <w:rsid w:val="00474256"/>
    <w:rsid w:val="00484B91"/>
    <w:rsid w:val="004868E7"/>
    <w:rsid w:val="00493435"/>
    <w:rsid w:val="00495DFD"/>
    <w:rsid w:val="00497DC7"/>
    <w:rsid w:val="004A1F28"/>
    <w:rsid w:val="004A7B30"/>
    <w:rsid w:val="004A7C38"/>
    <w:rsid w:val="004C4D36"/>
    <w:rsid w:val="004D738B"/>
    <w:rsid w:val="004D7CA3"/>
    <w:rsid w:val="004E756B"/>
    <w:rsid w:val="004F08B1"/>
    <w:rsid w:val="004F4C55"/>
    <w:rsid w:val="004F7FA0"/>
    <w:rsid w:val="0050791B"/>
    <w:rsid w:val="0052608D"/>
    <w:rsid w:val="00526449"/>
    <w:rsid w:val="00526746"/>
    <w:rsid w:val="00530F32"/>
    <w:rsid w:val="00540C5B"/>
    <w:rsid w:val="005469AD"/>
    <w:rsid w:val="00547D9A"/>
    <w:rsid w:val="00552B8A"/>
    <w:rsid w:val="00560C8C"/>
    <w:rsid w:val="00565B2F"/>
    <w:rsid w:val="00567185"/>
    <w:rsid w:val="005752A5"/>
    <w:rsid w:val="005755CD"/>
    <w:rsid w:val="005762B4"/>
    <w:rsid w:val="00580604"/>
    <w:rsid w:val="00581AF0"/>
    <w:rsid w:val="00581E1C"/>
    <w:rsid w:val="00585535"/>
    <w:rsid w:val="00594FE7"/>
    <w:rsid w:val="005A17F4"/>
    <w:rsid w:val="005A6661"/>
    <w:rsid w:val="005B26FC"/>
    <w:rsid w:val="005B3756"/>
    <w:rsid w:val="005C309F"/>
    <w:rsid w:val="005D3C11"/>
    <w:rsid w:val="005F1D20"/>
    <w:rsid w:val="005F6E37"/>
    <w:rsid w:val="00605025"/>
    <w:rsid w:val="006068FC"/>
    <w:rsid w:val="00616739"/>
    <w:rsid w:val="006169F8"/>
    <w:rsid w:val="00620246"/>
    <w:rsid w:val="00624D82"/>
    <w:rsid w:val="00625DEF"/>
    <w:rsid w:val="00630C31"/>
    <w:rsid w:val="0064620A"/>
    <w:rsid w:val="00650807"/>
    <w:rsid w:val="006627E1"/>
    <w:rsid w:val="0066310E"/>
    <w:rsid w:val="006645E9"/>
    <w:rsid w:val="006653C5"/>
    <w:rsid w:val="0066629F"/>
    <w:rsid w:val="00666966"/>
    <w:rsid w:val="00667F67"/>
    <w:rsid w:val="00684573"/>
    <w:rsid w:val="006A38B9"/>
    <w:rsid w:val="006A3DD3"/>
    <w:rsid w:val="006B5A5F"/>
    <w:rsid w:val="006C7569"/>
    <w:rsid w:val="006D0B1D"/>
    <w:rsid w:val="006D5528"/>
    <w:rsid w:val="006E1DB4"/>
    <w:rsid w:val="006E4F4F"/>
    <w:rsid w:val="006E4F7E"/>
    <w:rsid w:val="006E5345"/>
    <w:rsid w:val="00703CCB"/>
    <w:rsid w:val="007043BC"/>
    <w:rsid w:val="00707492"/>
    <w:rsid w:val="007117B0"/>
    <w:rsid w:val="00711D66"/>
    <w:rsid w:val="00713A87"/>
    <w:rsid w:val="007161FF"/>
    <w:rsid w:val="00717D63"/>
    <w:rsid w:val="00720FE6"/>
    <w:rsid w:val="00724E11"/>
    <w:rsid w:val="00730A16"/>
    <w:rsid w:val="007338F2"/>
    <w:rsid w:val="007407DD"/>
    <w:rsid w:val="00740C74"/>
    <w:rsid w:val="00752D7F"/>
    <w:rsid w:val="0075354A"/>
    <w:rsid w:val="0075652D"/>
    <w:rsid w:val="00764B0E"/>
    <w:rsid w:val="007730C8"/>
    <w:rsid w:val="007730F3"/>
    <w:rsid w:val="00773383"/>
    <w:rsid w:val="007800A9"/>
    <w:rsid w:val="007812C9"/>
    <w:rsid w:val="00782FCA"/>
    <w:rsid w:val="00791D92"/>
    <w:rsid w:val="00792BCD"/>
    <w:rsid w:val="007A1178"/>
    <w:rsid w:val="007A7246"/>
    <w:rsid w:val="007B29AC"/>
    <w:rsid w:val="007B3D19"/>
    <w:rsid w:val="007C109B"/>
    <w:rsid w:val="007C1919"/>
    <w:rsid w:val="007C1B9A"/>
    <w:rsid w:val="007D2C12"/>
    <w:rsid w:val="007D40CC"/>
    <w:rsid w:val="007E3500"/>
    <w:rsid w:val="007E6828"/>
    <w:rsid w:val="007F1E67"/>
    <w:rsid w:val="007F3C5A"/>
    <w:rsid w:val="007F456E"/>
    <w:rsid w:val="0080099E"/>
    <w:rsid w:val="00800AF7"/>
    <w:rsid w:val="00813485"/>
    <w:rsid w:val="008139E0"/>
    <w:rsid w:val="008243D5"/>
    <w:rsid w:val="0083321F"/>
    <w:rsid w:val="00833ADE"/>
    <w:rsid w:val="00834FA2"/>
    <w:rsid w:val="008445BF"/>
    <w:rsid w:val="008503C8"/>
    <w:rsid w:val="008515ED"/>
    <w:rsid w:val="00851AFA"/>
    <w:rsid w:val="008547D1"/>
    <w:rsid w:val="00855743"/>
    <w:rsid w:val="00856DA9"/>
    <w:rsid w:val="0086121B"/>
    <w:rsid w:val="008733B8"/>
    <w:rsid w:val="0087732F"/>
    <w:rsid w:val="008801D5"/>
    <w:rsid w:val="00884D00"/>
    <w:rsid w:val="00893495"/>
    <w:rsid w:val="008944FE"/>
    <w:rsid w:val="008977BF"/>
    <w:rsid w:val="008B0AC6"/>
    <w:rsid w:val="008C0696"/>
    <w:rsid w:val="008C28B0"/>
    <w:rsid w:val="008C5054"/>
    <w:rsid w:val="008C5704"/>
    <w:rsid w:val="008C5829"/>
    <w:rsid w:val="008C5E16"/>
    <w:rsid w:val="008C7AFF"/>
    <w:rsid w:val="008D07E0"/>
    <w:rsid w:val="008E3940"/>
    <w:rsid w:val="008E3E2D"/>
    <w:rsid w:val="008E533F"/>
    <w:rsid w:val="008E7B2A"/>
    <w:rsid w:val="008F2E17"/>
    <w:rsid w:val="008F5CC5"/>
    <w:rsid w:val="00906A6B"/>
    <w:rsid w:val="009076FA"/>
    <w:rsid w:val="00907AA4"/>
    <w:rsid w:val="009114F7"/>
    <w:rsid w:val="00913C84"/>
    <w:rsid w:val="00913E2B"/>
    <w:rsid w:val="00915D17"/>
    <w:rsid w:val="00926C40"/>
    <w:rsid w:val="009318E1"/>
    <w:rsid w:val="00934C6F"/>
    <w:rsid w:val="009362FA"/>
    <w:rsid w:val="0095695C"/>
    <w:rsid w:val="009669A4"/>
    <w:rsid w:val="00970D2B"/>
    <w:rsid w:val="009735EB"/>
    <w:rsid w:val="00974A66"/>
    <w:rsid w:val="00974C52"/>
    <w:rsid w:val="009907D4"/>
    <w:rsid w:val="0099233B"/>
    <w:rsid w:val="00995DCE"/>
    <w:rsid w:val="00997C31"/>
    <w:rsid w:val="009A061E"/>
    <w:rsid w:val="009A4075"/>
    <w:rsid w:val="009A49C3"/>
    <w:rsid w:val="009A4C21"/>
    <w:rsid w:val="009A4CE2"/>
    <w:rsid w:val="009B4731"/>
    <w:rsid w:val="009B56D3"/>
    <w:rsid w:val="009B6F82"/>
    <w:rsid w:val="009D48C0"/>
    <w:rsid w:val="009E125E"/>
    <w:rsid w:val="009E77E5"/>
    <w:rsid w:val="009F4A1F"/>
    <w:rsid w:val="009F5F55"/>
    <w:rsid w:val="009F6836"/>
    <w:rsid w:val="009F7961"/>
    <w:rsid w:val="009F7AC8"/>
    <w:rsid w:val="00A0279E"/>
    <w:rsid w:val="00A14A82"/>
    <w:rsid w:val="00A173C8"/>
    <w:rsid w:val="00A20CC1"/>
    <w:rsid w:val="00A2675C"/>
    <w:rsid w:val="00A26795"/>
    <w:rsid w:val="00A32340"/>
    <w:rsid w:val="00A3267C"/>
    <w:rsid w:val="00A349EF"/>
    <w:rsid w:val="00A35B17"/>
    <w:rsid w:val="00A37E4F"/>
    <w:rsid w:val="00A427FE"/>
    <w:rsid w:val="00A70C24"/>
    <w:rsid w:val="00A71F80"/>
    <w:rsid w:val="00A72ED6"/>
    <w:rsid w:val="00A758EB"/>
    <w:rsid w:val="00A90010"/>
    <w:rsid w:val="00A95915"/>
    <w:rsid w:val="00A95B0D"/>
    <w:rsid w:val="00AA17A2"/>
    <w:rsid w:val="00AA6A9B"/>
    <w:rsid w:val="00AA7AE5"/>
    <w:rsid w:val="00AB325D"/>
    <w:rsid w:val="00AC1A8F"/>
    <w:rsid w:val="00AC6432"/>
    <w:rsid w:val="00AD6C4F"/>
    <w:rsid w:val="00AE3668"/>
    <w:rsid w:val="00AE3A1E"/>
    <w:rsid w:val="00AE69A1"/>
    <w:rsid w:val="00AF0FB6"/>
    <w:rsid w:val="00AF4FAD"/>
    <w:rsid w:val="00AF7E33"/>
    <w:rsid w:val="00B01C75"/>
    <w:rsid w:val="00B02BAC"/>
    <w:rsid w:val="00B160A7"/>
    <w:rsid w:val="00B221DC"/>
    <w:rsid w:val="00B264DA"/>
    <w:rsid w:val="00B317B9"/>
    <w:rsid w:val="00B318FA"/>
    <w:rsid w:val="00B401FD"/>
    <w:rsid w:val="00B40540"/>
    <w:rsid w:val="00B40747"/>
    <w:rsid w:val="00B40A90"/>
    <w:rsid w:val="00B51FC0"/>
    <w:rsid w:val="00B549B6"/>
    <w:rsid w:val="00B54FBE"/>
    <w:rsid w:val="00B659A4"/>
    <w:rsid w:val="00B759FC"/>
    <w:rsid w:val="00B858CB"/>
    <w:rsid w:val="00B864E6"/>
    <w:rsid w:val="00B9007D"/>
    <w:rsid w:val="00B91B64"/>
    <w:rsid w:val="00B97FD9"/>
    <w:rsid w:val="00BA090B"/>
    <w:rsid w:val="00BB09C2"/>
    <w:rsid w:val="00BB0C34"/>
    <w:rsid w:val="00BB74ED"/>
    <w:rsid w:val="00BC0D46"/>
    <w:rsid w:val="00BC12A6"/>
    <w:rsid w:val="00BC3685"/>
    <w:rsid w:val="00BC4AC7"/>
    <w:rsid w:val="00BC5D13"/>
    <w:rsid w:val="00BD6C15"/>
    <w:rsid w:val="00BE1241"/>
    <w:rsid w:val="00BE1F0D"/>
    <w:rsid w:val="00BF3FE7"/>
    <w:rsid w:val="00BF6874"/>
    <w:rsid w:val="00C03EAD"/>
    <w:rsid w:val="00C075F9"/>
    <w:rsid w:val="00C12598"/>
    <w:rsid w:val="00C13BE4"/>
    <w:rsid w:val="00C175EF"/>
    <w:rsid w:val="00C21C8D"/>
    <w:rsid w:val="00C26C00"/>
    <w:rsid w:val="00C34E64"/>
    <w:rsid w:val="00C37976"/>
    <w:rsid w:val="00C60C15"/>
    <w:rsid w:val="00C64D06"/>
    <w:rsid w:val="00C66C72"/>
    <w:rsid w:val="00C70DAA"/>
    <w:rsid w:val="00C85B05"/>
    <w:rsid w:val="00C86BC3"/>
    <w:rsid w:val="00C90274"/>
    <w:rsid w:val="00C93E05"/>
    <w:rsid w:val="00C96026"/>
    <w:rsid w:val="00C978FE"/>
    <w:rsid w:val="00CA1806"/>
    <w:rsid w:val="00CA1965"/>
    <w:rsid w:val="00CA6014"/>
    <w:rsid w:val="00CB34D6"/>
    <w:rsid w:val="00CB5EE3"/>
    <w:rsid w:val="00CB6A9C"/>
    <w:rsid w:val="00CC19D1"/>
    <w:rsid w:val="00CC3783"/>
    <w:rsid w:val="00CC48E3"/>
    <w:rsid w:val="00CD24E4"/>
    <w:rsid w:val="00CD4CD9"/>
    <w:rsid w:val="00CD4E03"/>
    <w:rsid w:val="00CD4ED4"/>
    <w:rsid w:val="00CD5C58"/>
    <w:rsid w:val="00CE0B28"/>
    <w:rsid w:val="00CE0D78"/>
    <w:rsid w:val="00CE6812"/>
    <w:rsid w:val="00CF2694"/>
    <w:rsid w:val="00CF2A07"/>
    <w:rsid w:val="00CF2CBE"/>
    <w:rsid w:val="00D01652"/>
    <w:rsid w:val="00D04AE6"/>
    <w:rsid w:val="00D05903"/>
    <w:rsid w:val="00D235A2"/>
    <w:rsid w:val="00D24659"/>
    <w:rsid w:val="00D24ED1"/>
    <w:rsid w:val="00D2504C"/>
    <w:rsid w:val="00D31AD6"/>
    <w:rsid w:val="00D365CB"/>
    <w:rsid w:val="00D42C00"/>
    <w:rsid w:val="00D43896"/>
    <w:rsid w:val="00D45344"/>
    <w:rsid w:val="00D46048"/>
    <w:rsid w:val="00D47BEC"/>
    <w:rsid w:val="00D548C1"/>
    <w:rsid w:val="00D56B52"/>
    <w:rsid w:val="00D6164F"/>
    <w:rsid w:val="00D6354F"/>
    <w:rsid w:val="00D6406D"/>
    <w:rsid w:val="00D6536E"/>
    <w:rsid w:val="00D658CC"/>
    <w:rsid w:val="00D71A69"/>
    <w:rsid w:val="00D743D9"/>
    <w:rsid w:val="00D85E4D"/>
    <w:rsid w:val="00D9217C"/>
    <w:rsid w:val="00DA1A5A"/>
    <w:rsid w:val="00DA7157"/>
    <w:rsid w:val="00DD7C7F"/>
    <w:rsid w:val="00DE0BBC"/>
    <w:rsid w:val="00DE1ADE"/>
    <w:rsid w:val="00DE1C7A"/>
    <w:rsid w:val="00DE2929"/>
    <w:rsid w:val="00DE2C75"/>
    <w:rsid w:val="00DE7014"/>
    <w:rsid w:val="00DF610F"/>
    <w:rsid w:val="00DF6E00"/>
    <w:rsid w:val="00E00024"/>
    <w:rsid w:val="00E049B1"/>
    <w:rsid w:val="00E05743"/>
    <w:rsid w:val="00E17E22"/>
    <w:rsid w:val="00E201AD"/>
    <w:rsid w:val="00E25CE4"/>
    <w:rsid w:val="00E26748"/>
    <w:rsid w:val="00E324AB"/>
    <w:rsid w:val="00E34462"/>
    <w:rsid w:val="00E44500"/>
    <w:rsid w:val="00E47A3F"/>
    <w:rsid w:val="00E62A0E"/>
    <w:rsid w:val="00E70F66"/>
    <w:rsid w:val="00E7192B"/>
    <w:rsid w:val="00E71D9D"/>
    <w:rsid w:val="00E72198"/>
    <w:rsid w:val="00E738AA"/>
    <w:rsid w:val="00E73C5A"/>
    <w:rsid w:val="00E8555F"/>
    <w:rsid w:val="00E86D76"/>
    <w:rsid w:val="00E90283"/>
    <w:rsid w:val="00E921B7"/>
    <w:rsid w:val="00E94515"/>
    <w:rsid w:val="00EA003D"/>
    <w:rsid w:val="00EA06EC"/>
    <w:rsid w:val="00EA5CE3"/>
    <w:rsid w:val="00EB29DE"/>
    <w:rsid w:val="00EB3617"/>
    <w:rsid w:val="00EB5161"/>
    <w:rsid w:val="00EC5350"/>
    <w:rsid w:val="00EC7430"/>
    <w:rsid w:val="00ED00BC"/>
    <w:rsid w:val="00EF10CC"/>
    <w:rsid w:val="00EF1A25"/>
    <w:rsid w:val="00EF3D4B"/>
    <w:rsid w:val="00EF4EF0"/>
    <w:rsid w:val="00EF6CD9"/>
    <w:rsid w:val="00EF7905"/>
    <w:rsid w:val="00F3610B"/>
    <w:rsid w:val="00F40044"/>
    <w:rsid w:val="00F430BB"/>
    <w:rsid w:val="00F53E64"/>
    <w:rsid w:val="00F554E2"/>
    <w:rsid w:val="00F556A7"/>
    <w:rsid w:val="00F55FEE"/>
    <w:rsid w:val="00F63580"/>
    <w:rsid w:val="00F66553"/>
    <w:rsid w:val="00F67DEE"/>
    <w:rsid w:val="00F71864"/>
    <w:rsid w:val="00F74D0D"/>
    <w:rsid w:val="00F750D2"/>
    <w:rsid w:val="00F9059B"/>
    <w:rsid w:val="00F93338"/>
    <w:rsid w:val="00F94DB6"/>
    <w:rsid w:val="00F97F5C"/>
    <w:rsid w:val="00FA0D90"/>
    <w:rsid w:val="00FB7160"/>
    <w:rsid w:val="00FC4B10"/>
    <w:rsid w:val="00FD0A36"/>
    <w:rsid w:val="00FD3A53"/>
    <w:rsid w:val="00FD4A2D"/>
    <w:rsid w:val="00FE55D4"/>
    <w:rsid w:val="00FF326D"/>
    <w:rsid w:val="016158E9"/>
    <w:rsid w:val="03CE07DA"/>
    <w:rsid w:val="04302D8C"/>
    <w:rsid w:val="043A26C6"/>
    <w:rsid w:val="04526AA1"/>
    <w:rsid w:val="04850536"/>
    <w:rsid w:val="06B460FA"/>
    <w:rsid w:val="07194CC2"/>
    <w:rsid w:val="0723281B"/>
    <w:rsid w:val="0750357D"/>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48C7967"/>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501480"/>
    <w:rsid w:val="5A994431"/>
    <w:rsid w:val="5AA65183"/>
    <w:rsid w:val="5B7D3701"/>
    <w:rsid w:val="5D7C20AB"/>
    <w:rsid w:val="5D8C3D1F"/>
    <w:rsid w:val="5E7B45CA"/>
    <w:rsid w:val="5E8B3DF8"/>
    <w:rsid w:val="5F1B04DA"/>
    <w:rsid w:val="5F7E45B6"/>
    <w:rsid w:val="5FC329D0"/>
    <w:rsid w:val="600D5DBC"/>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0E02FD"/>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4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unhideWhenUsed/>
    <w:qFormat/>
    <w:uiPriority w:val="35"/>
    <w:pPr>
      <w:widowControl w:val="0"/>
      <w:adjustRightInd w:val="0"/>
      <w:snapToGrid w:val="0"/>
      <w:spacing w:line="400" w:lineRule="atLeast"/>
      <w:jc w:val="center"/>
    </w:pPr>
    <w:rPr>
      <w:rFonts w:ascii="Times New Roman" w:hAnsi="Times New Roman" w:eastAsia="楷体_GB2312"/>
      <w:kern w:val="2"/>
      <w:sz w:val="18"/>
      <w:szCs w:val="20"/>
      <w:lang w:eastAsia="zh-CN"/>
    </w:rPr>
  </w:style>
  <w:style w:type="paragraph" w:styleId="7">
    <w:name w:val="annotation text"/>
    <w:basedOn w:val="1"/>
    <w:semiHidden/>
    <w:qFormat/>
    <w:uiPriority w:val="0"/>
  </w:style>
  <w:style w:type="paragraph" w:styleId="8">
    <w:name w:val="Body Text"/>
    <w:basedOn w:val="1"/>
    <w:link w:val="33"/>
    <w:qFormat/>
    <w:uiPriority w:val="0"/>
    <w:pPr>
      <w:spacing w:after="120"/>
      <w:jc w:val="both"/>
    </w:pPr>
    <w:rPr>
      <w:rFonts w:eastAsia="MS Mincho"/>
    </w:rPr>
  </w:style>
  <w:style w:type="paragraph" w:styleId="9">
    <w:name w:val="Balloon Text"/>
    <w:basedOn w:val="1"/>
    <w:link w:val="47"/>
    <w:qFormat/>
    <w:uiPriority w:val="0"/>
    <w:rPr>
      <w:sz w:val="18"/>
      <w:szCs w:val="18"/>
    </w:rPr>
  </w:style>
  <w:style w:type="paragraph" w:styleId="10">
    <w:name w:val="footer"/>
    <w:basedOn w:val="1"/>
    <w:link w:val="34"/>
    <w:qFormat/>
    <w:uiPriority w:val="0"/>
    <w:pPr>
      <w:tabs>
        <w:tab w:val="center" w:pos="4153"/>
        <w:tab w:val="right" w:pos="8306"/>
      </w:tabs>
      <w:snapToGrid w:val="0"/>
    </w:pPr>
    <w:rPr>
      <w:sz w:val="18"/>
      <w:szCs w:val="18"/>
    </w:rPr>
  </w:style>
  <w:style w:type="paragraph" w:styleId="11">
    <w:name w:val="header"/>
    <w:basedOn w:val="1"/>
    <w:qFormat/>
    <w:uiPriority w:val="0"/>
    <w:pPr>
      <w:tabs>
        <w:tab w:val="center" w:pos="4536"/>
        <w:tab w:val="right" w:pos="9072"/>
      </w:tabs>
    </w:pPr>
    <w:rPr>
      <w:rFonts w:ascii="Arial" w:hAnsi="Arial" w:eastAsia="MS Mincho"/>
      <w:b/>
    </w:rPr>
  </w:style>
  <w:style w:type="paragraph" w:styleId="12">
    <w:name w:val="List"/>
    <w:basedOn w:val="1"/>
    <w:qFormat/>
    <w:uiPriority w:val="0"/>
    <w:pPr>
      <w:ind w:left="568" w:hanging="284"/>
    </w:pPr>
  </w:style>
  <w:style w:type="character" w:styleId="14">
    <w:name w:val="Hyperlink"/>
    <w:qFormat/>
    <w:uiPriority w:val="99"/>
    <w:rPr>
      <w:color w:val="0000FF"/>
      <w:u w:val="single"/>
    </w:rPr>
  </w:style>
  <w:style w:type="paragraph" w:customStyle="1" w:styleId="16">
    <w:name w:val="TAH"/>
    <w:basedOn w:val="17"/>
    <w:link w:val="31"/>
    <w:qFormat/>
    <w:uiPriority w:val="0"/>
    <w:rPr>
      <w:b/>
    </w:rPr>
  </w:style>
  <w:style w:type="paragraph" w:customStyle="1" w:styleId="17">
    <w:name w:val="TAC"/>
    <w:basedOn w:val="18"/>
    <w:link w:val="32"/>
    <w:qFormat/>
    <w:uiPriority w:val="0"/>
    <w:pPr>
      <w:overflowPunct w:val="0"/>
      <w:autoSpaceDE w:val="0"/>
      <w:autoSpaceDN w:val="0"/>
      <w:adjustRightInd w:val="0"/>
      <w:jc w:val="center"/>
      <w:textAlignment w:val="baseline"/>
    </w:pPr>
    <w:rPr>
      <w:lang w:eastAsia="en-GB"/>
    </w:rPr>
  </w:style>
  <w:style w:type="paragraph" w:customStyle="1" w:styleId="18">
    <w:name w:val="TAL"/>
    <w:basedOn w:val="1"/>
    <w:link w:val="30"/>
    <w:qFormat/>
    <w:uiPriority w:val="0"/>
    <w:pPr>
      <w:keepNext/>
      <w:keepLines/>
    </w:pPr>
    <w:rPr>
      <w:rFonts w:ascii="Arial" w:hAnsi="Arial"/>
      <w:sz w:val="18"/>
      <w:szCs w:val="20"/>
      <w:lang w:val="en-GB"/>
    </w:rPr>
  </w:style>
  <w:style w:type="paragraph" w:customStyle="1" w:styleId="19">
    <w:name w:val="Doc-text2"/>
    <w:basedOn w:val="1"/>
    <w:qFormat/>
    <w:uiPriority w:val="0"/>
    <w:pPr>
      <w:tabs>
        <w:tab w:val="left" w:pos="1622"/>
      </w:tabs>
      <w:ind w:left="1622" w:hanging="363"/>
    </w:pPr>
    <w:rPr>
      <w:rFonts w:ascii="Arial" w:hAnsi="Arial" w:eastAsia="MS Mincho"/>
      <w:lang w:val="en-GB" w:eastAsia="en-GB"/>
    </w:rPr>
  </w:style>
  <w:style w:type="paragraph" w:customStyle="1" w:styleId="20">
    <w:name w:val="Agreement"/>
    <w:basedOn w:val="1"/>
    <w:next w:val="19"/>
    <w:qFormat/>
    <w:uiPriority w:val="0"/>
    <w:pPr>
      <w:numPr>
        <w:ilvl w:val="0"/>
        <w:numId w:val="2"/>
      </w:numPr>
      <w:spacing w:before="60"/>
    </w:pPr>
    <w:rPr>
      <w:b/>
    </w:rPr>
  </w:style>
  <w:style w:type="character" w:customStyle="1" w:styleId="21">
    <w:name w:val="PL Char"/>
    <w:basedOn w:val="13"/>
    <w:link w:val="22"/>
    <w:qFormat/>
    <w:uiPriority w:val="0"/>
    <w:rPr>
      <w:rFonts w:ascii="Courier New" w:hAnsi="Courier New" w:cs="Courier New"/>
    </w:rPr>
  </w:style>
  <w:style w:type="paragraph" w:customStyle="1" w:styleId="22">
    <w:name w:val="PL"/>
    <w:basedOn w:val="1"/>
    <w:link w:val="21"/>
    <w:qFormat/>
    <w:uiPriority w:val="0"/>
    <w:rPr>
      <w:rFonts w:ascii="Courier New" w:hAnsi="Courier New"/>
      <w:szCs w:val="20"/>
      <w:lang w:eastAsia="zh-CN"/>
    </w:rPr>
  </w:style>
  <w:style w:type="character" w:customStyle="1" w:styleId="23">
    <w:name w:val="B1 Char1"/>
    <w:basedOn w:val="13"/>
    <w:link w:val="24"/>
    <w:qFormat/>
    <w:uiPriority w:val="0"/>
  </w:style>
  <w:style w:type="paragraph" w:customStyle="1" w:styleId="24">
    <w:name w:val="B1"/>
    <w:basedOn w:val="12"/>
    <w:link w:val="23"/>
    <w:qFormat/>
    <w:uiPriority w:val="0"/>
    <w:pPr>
      <w:overflowPunct w:val="0"/>
      <w:autoSpaceDE w:val="0"/>
      <w:autoSpaceDN w:val="0"/>
      <w:spacing w:after="180"/>
    </w:pPr>
    <w:rPr>
      <w:rFonts w:hint="eastAsia" w:ascii="Times New Roman" w:hAnsi="Times New Roman"/>
      <w:szCs w:val="20"/>
      <w:lang w:eastAsia="zh-CN"/>
    </w:rPr>
  </w:style>
  <w:style w:type="paragraph" w:customStyle="1" w:styleId="25">
    <w:name w:val="msolistparagraph"/>
    <w:basedOn w:val="1"/>
    <w:qFormat/>
    <w:uiPriority w:val="0"/>
    <w:pPr>
      <w:ind w:left="720"/>
    </w:pPr>
    <w:rPr>
      <w:rFonts w:ascii="Calibri" w:hAnsi="Calibri" w:eastAsia="宋体"/>
      <w:sz w:val="22"/>
      <w:szCs w:val="22"/>
      <w:lang w:eastAsia="zh-CN"/>
    </w:rPr>
  </w:style>
  <w:style w:type="paragraph" w:customStyle="1" w:styleId="26">
    <w:name w:val="B2"/>
    <w:basedOn w:val="1"/>
    <w:link w:val="28"/>
    <w:qFormat/>
    <w:uiPriority w:val="0"/>
    <w:pPr>
      <w:spacing w:after="180"/>
      <w:ind w:left="851" w:hanging="284"/>
    </w:pPr>
    <w:rPr>
      <w:rFonts w:ascii="Times New Roman" w:hAnsi="Times New Roman" w:eastAsia="Malgun Gothic"/>
      <w:szCs w:val="20"/>
      <w:lang w:val="en-GB"/>
    </w:rPr>
  </w:style>
  <w:style w:type="character" w:customStyle="1" w:styleId="27">
    <w:name w:val="B1 Char"/>
    <w:qFormat/>
    <w:uiPriority w:val="0"/>
    <w:rPr>
      <w:lang w:eastAsia="en-US"/>
    </w:rPr>
  </w:style>
  <w:style w:type="character" w:customStyle="1" w:styleId="28">
    <w:name w:val="B2 Char"/>
    <w:link w:val="26"/>
    <w:qFormat/>
    <w:uiPriority w:val="0"/>
    <w:rPr>
      <w:rFonts w:ascii="Times New Roman" w:hAnsi="Times New Roman" w:eastAsia="Malgun Gothic"/>
      <w:lang w:val="en-GB"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TAL Car"/>
    <w:link w:val="18"/>
    <w:qFormat/>
    <w:uiPriority w:val="0"/>
    <w:rPr>
      <w:rFonts w:ascii="Arial" w:hAnsi="Arial" w:eastAsia="Times New Roman"/>
      <w:sz w:val="18"/>
      <w:lang w:val="en-GB" w:eastAsia="en-US"/>
    </w:rPr>
  </w:style>
  <w:style w:type="character" w:customStyle="1" w:styleId="31">
    <w:name w:val="TAH Car"/>
    <w:link w:val="16"/>
    <w:qFormat/>
    <w:locked/>
    <w:uiPriority w:val="0"/>
    <w:rPr>
      <w:rFonts w:ascii="Arial" w:hAnsi="Arial" w:eastAsia="Times New Roman"/>
      <w:b/>
      <w:sz w:val="18"/>
      <w:lang w:val="en-GB" w:eastAsia="en-GB"/>
    </w:rPr>
  </w:style>
  <w:style w:type="character" w:customStyle="1" w:styleId="32">
    <w:name w:val="TAC Char"/>
    <w:link w:val="17"/>
    <w:qFormat/>
    <w:locked/>
    <w:uiPriority w:val="0"/>
    <w:rPr>
      <w:rFonts w:ascii="Arial" w:hAnsi="Arial" w:eastAsia="Times New Roman"/>
      <w:sz w:val="18"/>
      <w:lang w:val="en-GB" w:eastAsia="en-GB"/>
    </w:rPr>
  </w:style>
  <w:style w:type="character" w:customStyle="1" w:styleId="33">
    <w:name w:val="正文文本 字符"/>
    <w:basedOn w:val="13"/>
    <w:link w:val="8"/>
    <w:qFormat/>
    <w:uiPriority w:val="0"/>
    <w:rPr>
      <w:szCs w:val="24"/>
      <w:lang w:eastAsia="en-US"/>
    </w:rPr>
  </w:style>
  <w:style w:type="character" w:customStyle="1" w:styleId="34">
    <w:name w:val="页脚 字符"/>
    <w:basedOn w:val="13"/>
    <w:link w:val="10"/>
    <w:qFormat/>
    <w:uiPriority w:val="0"/>
    <w:rPr>
      <w:rFonts w:eastAsia="Times New Roman"/>
      <w:sz w:val="18"/>
      <w:szCs w:val="18"/>
      <w:lang w:eastAsia="en-US"/>
    </w:rPr>
  </w:style>
  <w:style w:type="paragraph" w:customStyle="1" w:styleId="35">
    <w:name w:val="TH"/>
    <w:basedOn w:val="1"/>
    <w:link w:val="36"/>
    <w:qFormat/>
    <w:uiPriority w:val="0"/>
    <w:pPr>
      <w:keepNext/>
      <w:keepLines/>
      <w:spacing w:before="60" w:after="180"/>
      <w:jc w:val="center"/>
    </w:pPr>
    <w:rPr>
      <w:rFonts w:ascii="Arial" w:hAnsi="Arial" w:eastAsia="Malgun Gothic"/>
      <w:b/>
      <w:szCs w:val="20"/>
      <w:lang w:val="en-GB"/>
    </w:rPr>
  </w:style>
  <w:style w:type="character" w:customStyle="1" w:styleId="36">
    <w:name w:val="TH Char"/>
    <w:link w:val="35"/>
    <w:qFormat/>
    <w:uiPriority w:val="0"/>
    <w:rPr>
      <w:rFonts w:ascii="Arial" w:hAnsi="Arial" w:eastAsia="Malgun Gothic"/>
      <w:b/>
      <w:lang w:val="en-GB" w:eastAsia="en-US"/>
    </w:rPr>
  </w:style>
  <w:style w:type="paragraph" w:customStyle="1" w:styleId="37">
    <w:name w:val="TF"/>
    <w:basedOn w:val="35"/>
    <w:link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38">
    <w:name w:val="TF Char"/>
    <w:link w:val="37"/>
    <w:qFormat/>
    <w:uiPriority w:val="0"/>
    <w:rPr>
      <w:rFonts w:ascii="Arial" w:hAnsi="Arial" w:eastAsia="Times New Roman"/>
      <w:b/>
      <w:lang w:val="en-GB" w:eastAsia="ja-JP"/>
    </w:rPr>
  </w:style>
  <w:style w:type="character" w:customStyle="1" w:styleId="39">
    <w:name w:val="B1 Zchn"/>
    <w:qFormat/>
    <w:uiPriority w:val="0"/>
    <w:rPr>
      <w:rFonts w:eastAsia="Times New Roman"/>
    </w:rPr>
  </w:style>
  <w:style w:type="character" w:customStyle="1" w:styleId="40">
    <w:name w:val="ZGSM"/>
    <w:qFormat/>
    <w:uiPriority w:val="0"/>
  </w:style>
  <w:style w:type="character" w:customStyle="1" w:styleId="41">
    <w:name w:val="标题 2 字符"/>
    <w:link w:val="3"/>
    <w:qFormat/>
    <w:uiPriority w:val="0"/>
    <w:rPr>
      <w:rFonts w:ascii="Arial" w:hAnsi="Arial" w:eastAsia="宋体" w:cs="Arial"/>
      <w:b/>
      <w:bCs/>
      <w:kern w:val="32"/>
      <w:sz w:val="32"/>
      <w:szCs w:val="32"/>
      <w:lang w:val="zh-CN"/>
    </w:rPr>
  </w:style>
  <w:style w:type="paragraph" w:customStyle="1" w:styleId="42">
    <w:name w:val="NO"/>
    <w:basedOn w:val="1"/>
    <w:link w:val="43"/>
    <w:qFormat/>
    <w:uiPriority w:val="0"/>
    <w:pPr>
      <w:keepLines/>
      <w:spacing w:after="180"/>
      <w:ind w:left="1135" w:hanging="851"/>
    </w:pPr>
    <w:rPr>
      <w:rFonts w:ascii="Times New Roman" w:hAnsi="Times New Roman" w:eastAsiaTheme="minorEastAsia"/>
      <w:szCs w:val="20"/>
      <w:lang w:val="en-GB"/>
    </w:rPr>
  </w:style>
  <w:style w:type="character" w:customStyle="1" w:styleId="43">
    <w:name w:val="NO Zchn"/>
    <w:link w:val="42"/>
    <w:qFormat/>
    <w:uiPriority w:val="0"/>
    <w:rPr>
      <w:rFonts w:ascii="Times New Roman" w:hAnsi="Times New Roman" w:eastAsiaTheme="minorEastAsia"/>
      <w:lang w:val="en-GB" w:eastAsia="en-US"/>
    </w:rPr>
  </w:style>
  <w:style w:type="paragraph" w:customStyle="1" w:styleId="44">
    <w:name w:val="正文1"/>
    <w:qFormat/>
    <w:uiPriority w:val="0"/>
    <w:pPr>
      <w:jc w:val="both"/>
    </w:pPr>
    <w:rPr>
      <w:rFonts w:ascii="CG Times (WN)" w:hAnsi="CG Times (WN)" w:eastAsia="宋体" w:cs="宋体"/>
      <w:kern w:val="2"/>
      <w:sz w:val="21"/>
      <w:szCs w:val="21"/>
      <w:lang w:val="en-US" w:eastAsia="zh-CN" w:bidi="ar-SA"/>
    </w:rPr>
  </w:style>
  <w:style w:type="character" w:customStyle="1" w:styleId="45">
    <w:name w:val="列表段落 字符"/>
    <w:link w:val="29"/>
    <w:qFormat/>
    <w:uiPriority w:val="34"/>
    <w:rPr>
      <w:rFonts w:ascii="Calibri" w:hAnsi="Calibri" w:eastAsia="宋体"/>
      <w:kern w:val="2"/>
      <w:sz w:val="21"/>
      <w:szCs w:val="22"/>
    </w:rPr>
  </w:style>
  <w:style w:type="character" w:customStyle="1" w:styleId="46">
    <w:name w:val="NO Char"/>
    <w:qFormat/>
    <w:uiPriority w:val="0"/>
    <w:rPr>
      <w:rFonts w:eastAsia="Times New Roman"/>
    </w:rPr>
  </w:style>
  <w:style w:type="character" w:customStyle="1" w:styleId="47">
    <w:name w:val="批注框文本 字符"/>
    <w:basedOn w:val="13"/>
    <w:link w:val="9"/>
    <w:qFormat/>
    <w:uiPriority w:val="0"/>
    <w:rPr>
      <w:rFonts w:eastAsia="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2FF49-5A38-4A7D-9907-FC53E8FC5AC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1730</Words>
  <Characters>9866</Characters>
  <Lines>82</Lines>
  <Paragraphs>23</Paragraphs>
  <TotalTime>0</TotalTime>
  <ScaleCrop>false</ScaleCrop>
  <LinksUpToDate>false</LinksUpToDate>
  <CharactersWithSpaces>11573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2020-07-06T09:35:00Z</dcterms:created>
  <dc:creator>Administrator</dc:creator>
  <cp:lastModifiedBy>vivo</cp:lastModifiedBy>
  <dcterms:modified xsi:type="dcterms:W3CDTF">2020-08-07T04:54:46Z</dcterms:modified>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